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E8B" w:rsidRPr="00EB21D9" w:rsidRDefault="006D2417" w:rsidP="00262E8B">
      <w:pPr>
        <w:autoSpaceDE w:val="0"/>
        <w:autoSpaceDN w:val="0"/>
        <w:adjustRightInd w:val="0"/>
        <w:jc w:val="center"/>
        <w:rPr>
          <w:rFonts w:ascii="Arial Narrow" w:hAnsi="Arial Narrow" w:cs="Arial"/>
          <w:b/>
          <w:bCs/>
          <w:i/>
          <w:sz w:val="24"/>
          <w:szCs w:val="24"/>
          <w:lang w:eastAsia="es-CO"/>
        </w:rPr>
      </w:pPr>
      <w:bookmarkStart w:id="0" w:name="_GoBack"/>
      <w:bookmarkEnd w:id="0"/>
      <w:r w:rsidRPr="00EB21D9">
        <w:rPr>
          <w:rFonts w:ascii="Arial Narrow" w:hAnsi="Arial Narrow" w:cs="Arial"/>
          <w:b/>
          <w:sz w:val="24"/>
          <w:szCs w:val="24"/>
        </w:rPr>
        <w:t>MEMORIA JUSTIFICATIVA DE LA RESOLUCIÓN “</w:t>
      </w:r>
      <w:r w:rsidR="007140F3" w:rsidRPr="00EB21D9">
        <w:rPr>
          <w:rFonts w:ascii="Arial Narrow" w:hAnsi="Arial Narrow" w:cs="Arial"/>
          <w:b/>
          <w:bCs/>
          <w:i/>
          <w:sz w:val="24"/>
          <w:szCs w:val="24"/>
          <w:lang w:eastAsia="es-CO"/>
        </w:rPr>
        <w:t xml:space="preserve">POR LA CUAL SE </w:t>
      </w:r>
      <w:r w:rsidR="007140F3">
        <w:rPr>
          <w:rFonts w:ascii="Arial Narrow" w:hAnsi="Arial Narrow" w:cs="Arial"/>
          <w:b/>
          <w:bCs/>
          <w:i/>
          <w:sz w:val="24"/>
          <w:szCs w:val="24"/>
          <w:lang w:eastAsia="es-CO"/>
        </w:rPr>
        <w:t>CREA Y SE REGLAMENTA EL SELLO MINERO AMBIENTAL COLOMBIANO”</w:t>
      </w:r>
    </w:p>
    <w:p w:rsidR="006C21E3" w:rsidRPr="00EB21D9" w:rsidRDefault="006C21E3" w:rsidP="00206D65">
      <w:pPr>
        <w:rPr>
          <w:rFonts w:ascii="Arial Narrow" w:hAnsi="Arial Narrow" w:cs="Arial"/>
          <w:color w:val="000000"/>
          <w:sz w:val="24"/>
          <w:szCs w:val="24"/>
        </w:rPr>
      </w:pPr>
    </w:p>
    <w:p w:rsidR="001935DB" w:rsidRDefault="001935DB" w:rsidP="001935DB">
      <w:pPr>
        <w:rPr>
          <w:rFonts w:ascii="Arial Narrow" w:hAnsi="Arial Narrow" w:cs="Arial"/>
          <w:b/>
          <w:sz w:val="24"/>
          <w:szCs w:val="24"/>
        </w:rPr>
      </w:pPr>
    </w:p>
    <w:p w:rsidR="007140F3" w:rsidRDefault="005D0A47" w:rsidP="00E75AF0">
      <w:pPr>
        <w:autoSpaceDE w:val="0"/>
        <w:autoSpaceDN w:val="0"/>
        <w:adjustRightInd w:val="0"/>
        <w:rPr>
          <w:rFonts w:ascii="Arial Narrow" w:hAnsi="Arial Narrow" w:cs="Arial"/>
          <w:sz w:val="24"/>
          <w:szCs w:val="24"/>
          <w:lang w:eastAsia="es-CO"/>
        </w:rPr>
      </w:pPr>
      <w:r>
        <w:rPr>
          <w:rFonts w:ascii="Arial Narrow" w:hAnsi="Arial Narrow" w:cs="Arial"/>
          <w:sz w:val="24"/>
          <w:szCs w:val="24"/>
          <w:lang w:eastAsia="es-CO"/>
        </w:rPr>
        <w:t>E</w:t>
      </w:r>
      <w:r w:rsidR="007140F3" w:rsidRPr="007140F3">
        <w:rPr>
          <w:rFonts w:ascii="Arial Narrow" w:hAnsi="Arial Narrow" w:cs="Arial"/>
          <w:sz w:val="24"/>
          <w:szCs w:val="24"/>
          <w:lang w:eastAsia="es-CO"/>
        </w:rPr>
        <w:t>l 10 de octubre de 2013, en Kumamoto (Japón), Colombia firmó el Convenio de</w:t>
      </w:r>
      <w:r w:rsidR="00E75AF0">
        <w:rPr>
          <w:rFonts w:ascii="Arial Narrow" w:hAnsi="Arial Narrow" w:cs="Arial"/>
          <w:sz w:val="24"/>
          <w:szCs w:val="24"/>
          <w:lang w:eastAsia="es-CO"/>
        </w:rPr>
        <w:t xml:space="preserve">   </w:t>
      </w:r>
      <w:r w:rsidR="00C0625D">
        <w:rPr>
          <w:rFonts w:ascii="Arial Narrow" w:hAnsi="Arial Narrow" w:cs="Arial"/>
          <w:sz w:val="24"/>
          <w:szCs w:val="24"/>
          <w:lang w:eastAsia="es-CO"/>
        </w:rPr>
        <w:t>Minam</w:t>
      </w:r>
      <w:r w:rsidR="00F61308">
        <w:rPr>
          <w:rFonts w:ascii="Arial Narrow" w:hAnsi="Arial Narrow" w:cs="Arial"/>
          <w:sz w:val="24"/>
          <w:szCs w:val="24"/>
          <w:lang w:eastAsia="es-CO"/>
        </w:rPr>
        <w:t>a</w:t>
      </w:r>
      <w:r w:rsidR="00C0625D">
        <w:rPr>
          <w:rFonts w:ascii="Arial Narrow" w:hAnsi="Arial Narrow" w:cs="Arial"/>
          <w:sz w:val="24"/>
          <w:szCs w:val="24"/>
          <w:lang w:eastAsia="es-CO"/>
        </w:rPr>
        <w:t xml:space="preserve">ta aprobado por </w:t>
      </w:r>
      <w:r w:rsidR="00C0625D" w:rsidRPr="00C0625D">
        <w:rPr>
          <w:rFonts w:ascii="Arial Narrow" w:hAnsi="Arial Narrow" w:cs="Arial"/>
          <w:sz w:val="24"/>
          <w:szCs w:val="24"/>
          <w:lang w:eastAsia="es-CO"/>
        </w:rPr>
        <w:t>y la reciente ley 1892 del 11 de mayo de 2018</w:t>
      </w:r>
      <w:r w:rsidR="007140F3" w:rsidRPr="007140F3">
        <w:rPr>
          <w:rFonts w:ascii="Arial Narrow" w:hAnsi="Arial Narrow" w:cs="Arial"/>
          <w:sz w:val="24"/>
          <w:szCs w:val="24"/>
          <w:lang w:eastAsia="es-CO"/>
        </w:rPr>
        <w:t xml:space="preserve">, </w:t>
      </w:r>
      <w:r w:rsidRPr="007140F3">
        <w:rPr>
          <w:rFonts w:ascii="Arial Narrow" w:hAnsi="Arial Narrow" w:cs="Arial"/>
          <w:sz w:val="24"/>
          <w:szCs w:val="24"/>
          <w:lang w:eastAsia="es-CO"/>
        </w:rPr>
        <w:t>del cual 128 país</w:t>
      </w:r>
      <w:r w:rsidR="007140F3" w:rsidRPr="007140F3">
        <w:rPr>
          <w:rFonts w:ascii="Arial Narrow" w:hAnsi="Arial Narrow" w:cs="Arial"/>
          <w:sz w:val="24"/>
          <w:szCs w:val="24"/>
          <w:lang w:eastAsia="es-CO"/>
        </w:rPr>
        <w:t xml:space="preserve"> son también</w:t>
      </w:r>
      <w:r w:rsidR="00E75AF0">
        <w:rPr>
          <w:rFonts w:ascii="Arial Narrow" w:hAnsi="Arial Narrow" w:cs="Arial"/>
          <w:sz w:val="24"/>
          <w:szCs w:val="24"/>
          <w:lang w:eastAsia="es-CO"/>
        </w:rPr>
        <w:t xml:space="preserve"> </w:t>
      </w:r>
      <w:r w:rsidR="007140F3" w:rsidRPr="007140F3">
        <w:rPr>
          <w:rFonts w:ascii="Arial Narrow" w:hAnsi="Arial Narrow" w:cs="Arial"/>
          <w:sz w:val="24"/>
          <w:szCs w:val="24"/>
          <w:lang w:eastAsia="es-CO"/>
        </w:rPr>
        <w:t>signatarios y a la fecha 91 lo han ratificado. En este convenio se encuentran países de la Unión</w:t>
      </w:r>
      <w:r w:rsidR="00E75AF0">
        <w:rPr>
          <w:rFonts w:ascii="Arial Narrow" w:hAnsi="Arial Narrow" w:cs="Arial"/>
          <w:sz w:val="24"/>
          <w:szCs w:val="24"/>
          <w:lang w:eastAsia="es-CO"/>
        </w:rPr>
        <w:t xml:space="preserve"> </w:t>
      </w:r>
      <w:r w:rsidR="007140F3" w:rsidRPr="007140F3">
        <w:rPr>
          <w:rFonts w:ascii="Arial Narrow" w:hAnsi="Arial Narrow" w:cs="Arial"/>
          <w:sz w:val="24"/>
          <w:szCs w:val="24"/>
          <w:lang w:eastAsia="es-CO"/>
        </w:rPr>
        <w:t>Europea y Estados Unidos. En dicho convenio existe una restricción a la producción de</w:t>
      </w:r>
      <w:r w:rsidR="00E75AF0">
        <w:rPr>
          <w:rFonts w:ascii="Arial Narrow" w:hAnsi="Arial Narrow" w:cs="Arial"/>
          <w:sz w:val="24"/>
          <w:szCs w:val="24"/>
          <w:lang w:eastAsia="es-CO"/>
        </w:rPr>
        <w:t xml:space="preserve"> </w:t>
      </w:r>
      <w:r w:rsidR="007140F3" w:rsidRPr="007140F3">
        <w:rPr>
          <w:rFonts w:ascii="Arial Narrow" w:hAnsi="Arial Narrow" w:cs="Arial"/>
          <w:sz w:val="24"/>
          <w:szCs w:val="24"/>
          <w:lang w:eastAsia="es-CO"/>
        </w:rPr>
        <w:t xml:space="preserve">mercurio, lo cual contribuye a que la oferta de la sustancia se </w:t>
      </w:r>
      <w:r w:rsidR="00E75AF0">
        <w:rPr>
          <w:rFonts w:ascii="Arial Narrow" w:hAnsi="Arial Narrow" w:cs="Arial"/>
          <w:sz w:val="24"/>
          <w:szCs w:val="24"/>
          <w:lang w:eastAsia="es-CO"/>
        </w:rPr>
        <w:t xml:space="preserve">reduzca de manera significativa. </w:t>
      </w:r>
      <w:r w:rsidR="007140F3" w:rsidRPr="007140F3">
        <w:rPr>
          <w:rFonts w:ascii="Arial Narrow" w:hAnsi="Arial Narrow" w:cs="Arial"/>
          <w:sz w:val="24"/>
          <w:szCs w:val="24"/>
          <w:lang w:eastAsia="es-CO"/>
        </w:rPr>
        <w:t>Dadas las implicaciones ambientales y de salud, los mercados internacionales y las</w:t>
      </w:r>
      <w:r>
        <w:rPr>
          <w:rFonts w:ascii="Arial Narrow" w:hAnsi="Arial Narrow" w:cs="Arial"/>
          <w:sz w:val="24"/>
          <w:szCs w:val="24"/>
          <w:lang w:eastAsia="es-CO"/>
        </w:rPr>
        <w:t xml:space="preserve"> </w:t>
      </w:r>
      <w:r w:rsidR="007140F3" w:rsidRPr="007140F3">
        <w:rPr>
          <w:rFonts w:ascii="Arial Narrow" w:hAnsi="Arial Narrow" w:cs="Arial"/>
          <w:sz w:val="24"/>
          <w:szCs w:val="24"/>
          <w:lang w:eastAsia="es-CO"/>
        </w:rPr>
        <w:t>comunidades científicas y no gubernamentales están interesados en promover el “oro limpio”,</w:t>
      </w:r>
      <w:r>
        <w:rPr>
          <w:rFonts w:ascii="Arial Narrow" w:hAnsi="Arial Narrow" w:cs="Arial"/>
          <w:sz w:val="24"/>
          <w:szCs w:val="24"/>
          <w:lang w:eastAsia="es-CO"/>
        </w:rPr>
        <w:t xml:space="preserve"> </w:t>
      </w:r>
      <w:r w:rsidR="007140F3" w:rsidRPr="007140F3">
        <w:rPr>
          <w:rFonts w:ascii="Arial Narrow" w:hAnsi="Arial Narrow" w:cs="Arial"/>
          <w:sz w:val="24"/>
          <w:szCs w:val="24"/>
          <w:lang w:eastAsia="es-CO"/>
        </w:rPr>
        <w:t xml:space="preserve">es decir, el oro que se produce en condiciones no adversas al ambiente y a la salud </w:t>
      </w:r>
      <w:r w:rsidRPr="007140F3">
        <w:rPr>
          <w:rFonts w:ascii="Arial Narrow" w:hAnsi="Arial Narrow" w:cs="Arial"/>
          <w:sz w:val="24"/>
          <w:szCs w:val="24"/>
          <w:lang w:eastAsia="es-CO"/>
        </w:rPr>
        <w:t>humana,</w:t>
      </w:r>
      <w:r>
        <w:rPr>
          <w:rFonts w:ascii="Arial Narrow" w:hAnsi="Arial Narrow" w:cs="Arial"/>
          <w:sz w:val="24"/>
          <w:szCs w:val="24"/>
          <w:lang w:eastAsia="es-CO"/>
        </w:rPr>
        <w:t xml:space="preserve"> por</w:t>
      </w:r>
      <w:r w:rsidR="007140F3" w:rsidRPr="007140F3">
        <w:rPr>
          <w:rFonts w:ascii="Arial Narrow" w:hAnsi="Arial Narrow" w:cs="Arial"/>
          <w:sz w:val="24"/>
          <w:szCs w:val="24"/>
          <w:lang w:eastAsia="es-CO"/>
        </w:rPr>
        <w:t xml:space="preserve"> lo que existe una demanda creciente de este producto</w:t>
      </w:r>
    </w:p>
    <w:p w:rsidR="005D0A47" w:rsidRDefault="005D0A47" w:rsidP="00E75AF0">
      <w:pPr>
        <w:autoSpaceDE w:val="0"/>
        <w:autoSpaceDN w:val="0"/>
        <w:adjustRightInd w:val="0"/>
        <w:rPr>
          <w:rFonts w:ascii="Arial Narrow" w:hAnsi="Arial Narrow" w:cs="Arial"/>
          <w:sz w:val="24"/>
          <w:szCs w:val="24"/>
          <w:lang w:eastAsia="es-CO"/>
        </w:rPr>
      </w:pPr>
    </w:p>
    <w:p w:rsidR="007140F3" w:rsidRPr="00CD16AB" w:rsidRDefault="005D0A47" w:rsidP="001964E6">
      <w:pPr>
        <w:autoSpaceDE w:val="0"/>
        <w:autoSpaceDN w:val="0"/>
        <w:adjustRightInd w:val="0"/>
        <w:rPr>
          <w:rFonts w:ascii="Arial Narrow" w:hAnsi="Arial Narrow" w:cs="Arial"/>
          <w:sz w:val="24"/>
          <w:szCs w:val="24"/>
          <w:lang w:eastAsia="es-CO"/>
        </w:rPr>
      </w:pPr>
      <w:r w:rsidRPr="00CD16AB">
        <w:rPr>
          <w:rFonts w:ascii="Arial Narrow" w:hAnsi="Arial Narrow" w:cs="Arial"/>
          <w:sz w:val="24"/>
          <w:szCs w:val="24"/>
          <w:lang w:eastAsia="es-CO"/>
        </w:rPr>
        <w:t>Colombia es un importante productor de oro. Así mismo, la actividad minera de oro es una</w:t>
      </w:r>
      <w:r w:rsidR="001964E6">
        <w:rPr>
          <w:rFonts w:ascii="Arial Narrow" w:hAnsi="Arial Narrow" w:cs="Arial"/>
          <w:sz w:val="24"/>
          <w:szCs w:val="24"/>
          <w:lang w:eastAsia="es-CO"/>
        </w:rPr>
        <w:t xml:space="preserve"> </w:t>
      </w:r>
      <w:r w:rsidRPr="00CD16AB">
        <w:rPr>
          <w:rFonts w:ascii="Arial Narrow" w:hAnsi="Arial Narrow" w:cs="Arial"/>
          <w:sz w:val="24"/>
          <w:szCs w:val="24"/>
          <w:lang w:eastAsia="es-CO"/>
        </w:rPr>
        <w:t>actividad de alta importancia económica para los habitantes de los diferentes municipios y</w:t>
      </w:r>
      <w:r w:rsidR="001964E6">
        <w:rPr>
          <w:rFonts w:ascii="Arial Narrow" w:hAnsi="Arial Narrow" w:cs="Arial"/>
          <w:sz w:val="24"/>
          <w:szCs w:val="24"/>
          <w:lang w:eastAsia="es-CO"/>
        </w:rPr>
        <w:t xml:space="preserve"> </w:t>
      </w:r>
      <w:r w:rsidRPr="00CD16AB">
        <w:rPr>
          <w:rFonts w:ascii="Arial Narrow" w:hAnsi="Arial Narrow" w:cs="Arial"/>
          <w:sz w:val="24"/>
          <w:szCs w:val="24"/>
          <w:lang w:eastAsia="es-CO"/>
        </w:rPr>
        <w:t>departamentos productores, donde representa una proporción significativa y una actividad</w:t>
      </w:r>
      <w:r w:rsidR="001964E6">
        <w:rPr>
          <w:rFonts w:ascii="Arial Narrow" w:hAnsi="Arial Narrow" w:cs="Arial"/>
          <w:sz w:val="24"/>
          <w:szCs w:val="24"/>
          <w:lang w:eastAsia="es-CO"/>
        </w:rPr>
        <w:t xml:space="preserve"> </w:t>
      </w:r>
      <w:r w:rsidRPr="00CD16AB">
        <w:rPr>
          <w:rFonts w:ascii="Arial Narrow" w:hAnsi="Arial Narrow" w:cs="Arial"/>
          <w:sz w:val="24"/>
          <w:szCs w:val="24"/>
          <w:lang w:eastAsia="es-CO"/>
        </w:rPr>
        <w:t>económica de subsistencia.</w:t>
      </w:r>
    </w:p>
    <w:p w:rsidR="005D0A47" w:rsidRDefault="005D0A47" w:rsidP="005D0A47">
      <w:pPr>
        <w:autoSpaceDE w:val="0"/>
        <w:autoSpaceDN w:val="0"/>
        <w:adjustRightInd w:val="0"/>
        <w:rPr>
          <w:rFonts w:eastAsiaTheme="minorHAnsi" w:cs="Arial"/>
          <w:szCs w:val="22"/>
          <w:lang w:eastAsia="en-US"/>
        </w:rPr>
      </w:pPr>
    </w:p>
    <w:p w:rsidR="005D0A47" w:rsidRPr="00CD16AB" w:rsidRDefault="005D0A47" w:rsidP="00CD16AB">
      <w:pPr>
        <w:autoSpaceDE w:val="0"/>
        <w:autoSpaceDN w:val="0"/>
        <w:adjustRightInd w:val="0"/>
        <w:rPr>
          <w:rFonts w:ascii="Arial Narrow" w:hAnsi="Arial Narrow" w:cs="Arial"/>
          <w:sz w:val="24"/>
          <w:szCs w:val="24"/>
          <w:lang w:eastAsia="es-CO"/>
        </w:rPr>
      </w:pPr>
      <w:r w:rsidRPr="00CD16AB">
        <w:rPr>
          <w:rFonts w:ascii="Arial Narrow" w:hAnsi="Arial Narrow" w:cs="Arial"/>
          <w:sz w:val="24"/>
          <w:szCs w:val="24"/>
          <w:lang w:eastAsia="es-CO"/>
        </w:rPr>
        <w:t>Hay estimaciones de diversos estudios e información de varios años que muestran el uso de mercurio en el proceso de amalgamación de mineral de oro, plata y platino</w:t>
      </w:r>
      <w:r w:rsidR="00CD16AB" w:rsidRPr="00CD16AB">
        <w:rPr>
          <w:rFonts w:ascii="Arial Narrow" w:hAnsi="Arial Narrow" w:cs="Arial"/>
          <w:sz w:val="24"/>
          <w:szCs w:val="24"/>
          <w:lang w:eastAsia="es-CO"/>
        </w:rPr>
        <w:t>, e</w:t>
      </w:r>
      <w:r w:rsidRPr="00CD16AB">
        <w:rPr>
          <w:rFonts w:ascii="Arial Narrow" w:hAnsi="Arial Narrow" w:cs="Arial"/>
          <w:sz w:val="24"/>
          <w:szCs w:val="24"/>
          <w:lang w:eastAsia="es-CO"/>
        </w:rPr>
        <w:t>sto demuestra lo dinámico que es el uso de este elemento en la minería de oro y por</w:t>
      </w:r>
      <w:r w:rsidR="00CD16AB" w:rsidRPr="00CD16AB">
        <w:rPr>
          <w:rFonts w:ascii="Arial Narrow" w:hAnsi="Arial Narrow" w:cs="Arial"/>
          <w:sz w:val="24"/>
          <w:szCs w:val="24"/>
          <w:lang w:eastAsia="es-CO"/>
        </w:rPr>
        <w:t xml:space="preserve"> </w:t>
      </w:r>
      <w:r w:rsidRPr="00CD16AB">
        <w:rPr>
          <w:rFonts w:ascii="Arial Narrow" w:hAnsi="Arial Narrow" w:cs="Arial"/>
          <w:sz w:val="24"/>
          <w:szCs w:val="24"/>
          <w:lang w:eastAsia="es-CO"/>
        </w:rPr>
        <w:t>tanto sus efectos en el ambiente. En el año 2010, el Inventario de mercurio elaborado por el</w:t>
      </w:r>
      <w:r w:rsidR="00CD16AB" w:rsidRPr="00CD16AB">
        <w:rPr>
          <w:rFonts w:ascii="Arial Narrow" w:hAnsi="Arial Narrow" w:cs="Arial"/>
          <w:sz w:val="24"/>
          <w:szCs w:val="24"/>
          <w:lang w:eastAsia="es-CO"/>
        </w:rPr>
        <w:t xml:space="preserve"> </w:t>
      </w:r>
      <w:r w:rsidRPr="00CD16AB">
        <w:rPr>
          <w:rFonts w:ascii="Arial Narrow" w:hAnsi="Arial Narrow" w:cs="Arial"/>
          <w:sz w:val="24"/>
          <w:szCs w:val="24"/>
          <w:lang w:eastAsia="es-CO"/>
        </w:rPr>
        <w:t>Ministerio de Ambiente, Vivienda y Desarrollo Territorial (hoy Ministerio de Ambiente y</w:t>
      </w:r>
      <w:r w:rsidR="00CD16AB" w:rsidRPr="00CD16AB">
        <w:rPr>
          <w:rFonts w:ascii="Arial Narrow" w:hAnsi="Arial Narrow" w:cs="Arial"/>
          <w:sz w:val="24"/>
          <w:szCs w:val="24"/>
          <w:lang w:eastAsia="es-CO"/>
        </w:rPr>
        <w:t xml:space="preserve"> </w:t>
      </w:r>
      <w:r w:rsidRPr="00CD16AB">
        <w:rPr>
          <w:rFonts w:ascii="Arial Narrow" w:hAnsi="Arial Narrow" w:cs="Arial"/>
          <w:sz w:val="24"/>
          <w:szCs w:val="24"/>
          <w:lang w:eastAsia="es-CO"/>
        </w:rPr>
        <w:t>Desarrollo Sostenible) y la Universidad de Antioquia, cuantificó las entradas de mercurio para</w:t>
      </w:r>
      <w:r w:rsidR="00CD16AB" w:rsidRPr="00CD16AB">
        <w:rPr>
          <w:rFonts w:ascii="Arial Narrow" w:hAnsi="Arial Narrow" w:cs="Arial"/>
          <w:sz w:val="24"/>
          <w:szCs w:val="24"/>
          <w:lang w:eastAsia="es-CO"/>
        </w:rPr>
        <w:t xml:space="preserve"> 2009, obteniendo como resultado un uso de 352 t y estableció que las actividades que más aportaron fueron la minería de oro, con 194,960 kg Hg/a, y la producción de sustancias químicas, con 97,60 t/a. Además, estableció que las matrices más afectadas por las liberaciones de mercurio son el suelo, con una proporción de 44 %, y el aire, con una proporción del 21 %. De la anterior información se puede deducir que el sector productivo con mayores entradas de mercurio corresponde a la minería de oro.</w:t>
      </w:r>
    </w:p>
    <w:p w:rsidR="00CD16AB" w:rsidRDefault="00CD16AB" w:rsidP="00CD16AB">
      <w:pPr>
        <w:autoSpaceDE w:val="0"/>
        <w:autoSpaceDN w:val="0"/>
        <w:adjustRightInd w:val="0"/>
        <w:jc w:val="left"/>
        <w:rPr>
          <w:rFonts w:eastAsiaTheme="minorHAnsi" w:cs="Arial"/>
          <w:szCs w:val="22"/>
          <w:lang w:eastAsia="en-US"/>
        </w:rPr>
      </w:pPr>
    </w:p>
    <w:p w:rsidR="005D0A47" w:rsidRPr="00CD16AB" w:rsidRDefault="00CD16AB" w:rsidP="00CD16AB">
      <w:pPr>
        <w:autoSpaceDE w:val="0"/>
        <w:autoSpaceDN w:val="0"/>
        <w:adjustRightInd w:val="0"/>
        <w:rPr>
          <w:rFonts w:ascii="Arial Narrow" w:hAnsi="Arial Narrow" w:cs="Arial"/>
          <w:sz w:val="24"/>
          <w:szCs w:val="24"/>
          <w:lang w:eastAsia="es-CO"/>
        </w:rPr>
      </w:pPr>
      <w:r w:rsidRPr="00CD16AB">
        <w:rPr>
          <w:rFonts w:ascii="Arial Narrow" w:hAnsi="Arial Narrow" w:cs="Arial"/>
          <w:sz w:val="24"/>
          <w:szCs w:val="24"/>
          <w:lang w:eastAsia="es-CO"/>
        </w:rPr>
        <w:t>En 2014 la UPME desarrolló el “Estudio de la Cadena del Mercurio en Colombia, con énfasis en la actividad minera de oro”, en la que se estimaron los usos de mercurio en los distritos mineros de los seis principales departamentos productores de oro en Colombia, que incluye tanto la minería legal como ilegal.</w:t>
      </w:r>
    </w:p>
    <w:p w:rsidR="00CD16AB" w:rsidRPr="00CD16AB" w:rsidRDefault="00CD16AB" w:rsidP="00CD16AB">
      <w:pPr>
        <w:autoSpaceDE w:val="0"/>
        <w:autoSpaceDN w:val="0"/>
        <w:adjustRightInd w:val="0"/>
        <w:rPr>
          <w:rFonts w:ascii="Arial Narrow" w:hAnsi="Arial Narrow" w:cs="Arial"/>
          <w:sz w:val="24"/>
          <w:szCs w:val="24"/>
          <w:lang w:eastAsia="es-CO"/>
        </w:rPr>
      </w:pPr>
    </w:p>
    <w:p w:rsidR="00CD16AB" w:rsidRPr="00CD16AB" w:rsidRDefault="00CD16AB" w:rsidP="00CD16AB">
      <w:pPr>
        <w:autoSpaceDE w:val="0"/>
        <w:autoSpaceDN w:val="0"/>
        <w:adjustRightInd w:val="0"/>
        <w:rPr>
          <w:rFonts w:ascii="Arial Narrow" w:hAnsi="Arial Narrow" w:cs="Arial"/>
          <w:sz w:val="24"/>
          <w:szCs w:val="24"/>
          <w:lang w:eastAsia="es-CO"/>
        </w:rPr>
      </w:pPr>
      <w:r w:rsidRPr="00CD16AB">
        <w:rPr>
          <w:rFonts w:ascii="Arial Narrow" w:hAnsi="Arial Narrow" w:cs="Arial"/>
          <w:sz w:val="24"/>
          <w:szCs w:val="24"/>
          <w:lang w:eastAsia="es-CO"/>
        </w:rPr>
        <w:t xml:space="preserve">Los resultados obtenidos en campo y analizados con base en la producción anual de las zonas escogidas, </w:t>
      </w:r>
      <w:r w:rsidR="00BB7E5C">
        <w:rPr>
          <w:rFonts w:ascii="Arial Narrow" w:hAnsi="Arial Narrow" w:cs="Arial"/>
          <w:sz w:val="24"/>
          <w:szCs w:val="24"/>
          <w:lang w:eastAsia="es-CO"/>
        </w:rPr>
        <w:t>muestran</w:t>
      </w:r>
      <w:r w:rsidRPr="00CD16AB">
        <w:rPr>
          <w:rFonts w:ascii="Arial Narrow" w:hAnsi="Arial Narrow" w:cs="Arial"/>
          <w:sz w:val="24"/>
          <w:szCs w:val="24"/>
          <w:lang w:eastAsia="es-CO"/>
        </w:rPr>
        <w:t xml:space="preserve"> que el departamento de Antioquia es el mayor consumidor de mercurio elemental, con un promedio anual de 129,2 toneladas de las 193,1 toneladas calculadas para el país </w:t>
      </w:r>
      <w:r w:rsidR="00BB7E5C">
        <w:rPr>
          <w:rFonts w:ascii="Arial Narrow" w:hAnsi="Arial Narrow" w:cs="Arial"/>
          <w:sz w:val="24"/>
          <w:szCs w:val="24"/>
          <w:lang w:eastAsia="es-CO"/>
        </w:rPr>
        <w:t xml:space="preserve">generando la </w:t>
      </w:r>
      <w:r w:rsidR="00BB7E5C" w:rsidRPr="00CD16AB">
        <w:rPr>
          <w:rFonts w:ascii="Arial Narrow" w:hAnsi="Arial Narrow" w:cs="Arial"/>
          <w:sz w:val="24"/>
          <w:szCs w:val="24"/>
          <w:lang w:eastAsia="es-CO"/>
        </w:rPr>
        <w:t>mayor</w:t>
      </w:r>
      <w:r w:rsidRPr="00CD16AB">
        <w:rPr>
          <w:rFonts w:ascii="Arial Narrow" w:hAnsi="Arial Narrow" w:cs="Arial"/>
          <w:sz w:val="24"/>
          <w:szCs w:val="24"/>
          <w:lang w:eastAsia="es-CO"/>
        </w:rPr>
        <w:t xml:space="preserve"> contaminación por mercurio, por causa de la actividad minera ilegal en su territorio</w:t>
      </w:r>
      <w:r>
        <w:rPr>
          <w:rFonts w:eastAsiaTheme="minorHAnsi" w:cs="Arial"/>
          <w:szCs w:val="22"/>
          <w:lang w:eastAsia="en-US"/>
        </w:rPr>
        <w:t xml:space="preserve">. </w:t>
      </w:r>
      <w:r w:rsidRPr="00CD16AB">
        <w:rPr>
          <w:rFonts w:ascii="Arial Narrow" w:hAnsi="Arial Narrow" w:cs="Arial"/>
          <w:sz w:val="24"/>
          <w:szCs w:val="24"/>
          <w:lang w:eastAsia="es-CO"/>
        </w:rPr>
        <w:t>El departamento del Chocó es el segundo productor de oro, con los volúmenes de mercurio elemental liberado y emitido que no llegan a los</w:t>
      </w:r>
      <w:r>
        <w:rPr>
          <w:rFonts w:eastAsiaTheme="minorHAnsi" w:cs="Arial"/>
          <w:szCs w:val="22"/>
          <w:lang w:eastAsia="en-US"/>
        </w:rPr>
        <w:t xml:space="preserve"> niveles </w:t>
      </w:r>
      <w:r w:rsidRPr="00CD16AB">
        <w:rPr>
          <w:rFonts w:ascii="Arial Narrow" w:hAnsi="Arial Narrow" w:cs="Arial"/>
          <w:sz w:val="24"/>
          <w:szCs w:val="24"/>
          <w:lang w:eastAsia="es-CO"/>
        </w:rPr>
        <w:t xml:space="preserve">de Antioquia, principalmente por el mercurio que </w:t>
      </w:r>
      <w:r w:rsidRPr="00CD16AB">
        <w:rPr>
          <w:rFonts w:ascii="Arial Narrow" w:hAnsi="Arial Narrow" w:cs="Arial"/>
          <w:sz w:val="24"/>
          <w:szCs w:val="24"/>
          <w:lang w:eastAsia="es-CO"/>
        </w:rPr>
        <w:lastRenderedPageBreak/>
        <w:t xml:space="preserve">utilizan en la recuperación de los metales auroargentíferos, sin que </w:t>
      </w:r>
      <w:r w:rsidR="00BB7E5C">
        <w:rPr>
          <w:rFonts w:ascii="Arial Narrow" w:hAnsi="Arial Narrow" w:cs="Arial"/>
          <w:sz w:val="24"/>
          <w:szCs w:val="24"/>
          <w:lang w:eastAsia="es-CO"/>
        </w:rPr>
        <w:t xml:space="preserve">esto no </w:t>
      </w:r>
      <w:r w:rsidRPr="00CD16AB">
        <w:rPr>
          <w:rFonts w:ascii="Arial Narrow" w:hAnsi="Arial Narrow" w:cs="Arial"/>
          <w:sz w:val="24"/>
          <w:szCs w:val="24"/>
          <w:lang w:eastAsia="es-CO"/>
        </w:rPr>
        <w:t xml:space="preserve">signifique que no sean importantes y preocupantes los serios impactos ambientes que esta actividad deja en su territorio. En este mismo orden, los consumos de mercurio que se utilizan en el departamento de Bolívar y del Cauca, pese a su poca producción, con respecto a los dos primeros departamentos, mantienen una relación alta, que genera presencia de mercurio en una concentración representativa en los </w:t>
      </w:r>
      <w:r w:rsidR="00BB7E5C">
        <w:rPr>
          <w:rFonts w:ascii="Arial Narrow" w:hAnsi="Arial Narrow" w:cs="Arial"/>
          <w:sz w:val="24"/>
          <w:szCs w:val="24"/>
          <w:lang w:eastAsia="es-CO"/>
        </w:rPr>
        <w:t xml:space="preserve">ecosistemas </w:t>
      </w:r>
      <w:r w:rsidR="00BB7E5C" w:rsidRPr="00CD16AB">
        <w:rPr>
          <w:rFonts w:ascii="Arial Narrow" w:hAnsi="Arial Narrow" w:cs="Arial"/>
          <w:sz w:val="24"/>
          <w:szCs w:val="24"/>
          <w:lang w:eastAsia="es-CO"/>
        </w:rPr>
        <w:t>evaluados</w:t>
      </w:r>
      <w:r w:rsidRPr="00CD16AB">
        <w:rPr>
          <w:rFonts w:ascii="Arial Narrow" w:hAnsi="Arial Narrow" w:cs="Arial"/>
          <w:sz w:val="24"/>
          <w:szCs w:val="24"/>
          <w:lang w:eastAsia="es-CO"/>
        </w:rPr>
        <w:t>, en el sur de Bolívar.</w:t>
      </w:r>
    </w:p>
    <w:p w:rsidR="00CD16AB" w:rsidRDefault="00CD16AB" w:rsidP="00CD16AB">
      <w:pPr>
        <w:autoSpaceDE w:val="0"/>
        <w:autoSpaceDN w:val="0"/>
        <w:adjustRightInd w:val="0"/>
        <w:rPr>
          <w:rFonts w:eastAsiaTheme="minorHAnsi" w:cs="Arial"/>
          <w:b/>
          <w:bCs/>
          <w:sz w:val="18"/>
          <w:szCs w:val="18"/>
          <w:lang w:eastAsia="en-US"/>
        </w:rPr>
      </w:pPr>
    </w:p>
    <w:p w:rsidR="00CD16AB" w:rsidRPr="00CD16AB" w:rsidRDefault="00CD16AB" w:rsidP="00CD16AB">
      <w:pPr>
        <w:autoSpaceDE w:val="0"/>
        <w:autoSpaceDN w:val="0"/>
        <w:adjustRightInd w:val="0"/>
        <w:rPr>
          <w:rFonts w:eastAsiaTheme="minorHAnsi" w:cs="Arial"/>
          <w:szCs w:val="22"/>
          <w:lang w:eastAsia="en-US"/>
        </w:rPr>
      </w:pPr>
      <w:r>
        <w:rPr>
          <w:rFonts w:eastAsiaTheme="minorHAnsi" w:cs="Arial"/>
          <w:b/>
          <w:bCs/>
          <w:sz w:val="18"/>
          <w:szCs w:val="18"/>
          <w:lang w:eastAsia="en-US"/>
        </w:rPr>
        <w:t>Tabla 1.  Mercurio consumido por departamento</w:t>
      </w:r>
    </w:p>
    <w:p w:rsidR="00CD16AB" w:rsidRDefault="00CD16AB" w:rsidP="005D0A47">
      <w:pPr>
        <w:autoSpaceDE w:val="0"/>
        <w:autoSpaceDN w:val="0"/>
        <w:adjustRightInd w:val="0"/>
        <w:rPr>
          <w:rFonts w:ascii="Arial Narrow" w:hAnsi="Arial Narrow" w:cs="Arial"/>
          <w:sz w:val="24"/>
          <w:szCs w:val="24"/>
          <w:lang w:eastAsia="es-CO"/>
        </w:rPr>
      </w:pPr>
      <w:r w:rsidRPr="00CD16AB">
        <w:rPr>
          <w:noProof/>
          <w:lang w:eastAsia="es-CO"/>
        </w:rPr>
        <w:drawing>
          <wp:inline distT="0" distB="0" distL="0" distR="0">
            <wp:extent cx="4525385" cy="2936383"/>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2869" cy="2947728"/>
                    </a:xfrm>
                    <a:prstGeom prst="rect">
                      <a:avLst/>
                    </a:prstGeom>
                    <a:noFill/>
                    <a:ln>
                      <a:noFill/>
                    </a:ln>
                  </pic:spPr>
                </pic:pic>
              </a:graphicData>
            </a:graphic>
          </wp:inline>
        </w:drawing>
      </w:r>
    </w:p>
    <w:p w:rsidR="00CD16AB" w:rsidRDefault="00CD16AB" w:rsidP="005D0A47">
      <w:pPr>
        <w:autoSpaceDE w:val="0"/>
        <w:autoSpaceDN w:val="0"/>
        <w:adjustRightInd w:val="0"/>
        <w:rPr>
          <w:rFonts w:ascii="Arial Narrow" w:hAnsi="Arial Narrow" w:cs="Arial"/>
          <w:sz w:val="24"/>
          <w:szCs w:val="24"/>
          <w:lang w:eastAsia="es-CO"/>
        </w:rPr>
      </w:pPr>
    </w:p>
    <w:p w:rsidR="005D0A47" w:rsidRDefault="00BB7E5C" w:rsidP="005D0A47">
      <w:pPr>
        <w:autoSpaceDE w:val="0"/>
        <w:autoSpaceDN w:val="0"/>
        <w:adjustRightInd w:val="0"/>
        <w:rPr>
          <w:rFonts w:ascii="Arial Narrow" w:hAnsi="Arial Narrow" w:cs="Arial"/>
          <w:sz w:val="24"/>
          <w:szCs w:val="24"/>
          <w:lang w:eastAsia="es-CO"/>
        </w:rPr>
      </w:pPr>
      <w:r>
        <w:rPr>
          <w:rFonts w:ascii="Arial Narrow" w:hAnsi="Arial Narrow" w:cs="Arial"/>
          <w:sz w:val="24"/>
          <w:szCs w:val="24"/>
          <w:lang w:eastAsia="es-CO"/>
        </w:rPr>
        <w:t xml:space="preserve">Por los preocupantes niveles de mercurio utilizado en </w:t>
      </w:r>
      <w:r w:rsidR="009836FC" w:rsidRPr="007140F3">
        <w:rPr>
          <w:rFonts w:ascii="Arial Narrow" w:hAnsi="Arial Narrow" w:cs="Arial"/>
          <w:sz w:val="24"/>
          <w:szCs w:val="24"/>
          <w:lang w:eastAsia="es-CO"/>
        </w:rPr>
        <w:t xml:space="preserve">Colombia </w:t>
      </w:r>
      <w:r w:rsidR="009836FC">
        <w:rPr>
          <w:rFonts w:ascii="Arial Narrow" w:hAnsi="Arial Narrow" w:cs="Arial"/>
          <w:sz w:val="24"/>
          <w:szCs w:val="24"/>
          <w:lang w:eastAsia="es-CO"/>
        </w:rPr>
        <w:t>se</w:t>
      </w:r>
      <w:r>
        <w:rPr>
          <w:rFonts w:ascii="Arial Narrow" w:hAnsi="Arial Narrow" w:cs="Arial"/>
          <w:sz w:val="24"/>
          <w:szCs w:val="24"/>
          <w:lang w:eastAsia="es-CO"/>
        </w:rPr>
        <w:t xml:space="preserve"> </w:t>
      </w:r>
      <w:r w:rsidR="005D0A47" w:rsidRPr="007140F3">
        <w:rPr>
          <w:rFonts w:ascii="Arial Narrow" w:hAnsi="Arial Narrow" w:cs="Arial"/>
          <w:sz w:val="24"/>
          <w:szCs w:val="24"/>
          <w:lang w:eastAsia="es-CO"/>
        </w:rPr>
        <w:t xml:space="preserve">expidió la Ley 1658 de 2013, </w:t>
      </w:r>
      <w:r w:rsidR="005D0A47">
        <w:rPr>
          <w:rFonts w:ascii="Arial Narrow" w:hAnsi="Arial Narrow" w:cs="Arial"/>
          <w:sz w:val="24"/>
          <w:szCs w:val="24"/>
          <w:lang w:eastAsia="es-CO"/>
        </w:rPr>
        <w:t>“</w:t>
      </w:r>
      <w:r w:rsidR="005D0A47" w:rsidRPr="007140F3">
        <w:rPr>
          <w:rFonts w:ascii="Arial Narrow" w:hAnsi="Arial Narrow" w:cs="Arial"/>
          <w:sz w:val="24"/>
          <w:szCs w:val="24"/>
          <w:lang w:eastAsia="es-CO"/>
        </w:rPr>
        <w:t xml:space="preserve">Por medio de la cual se establecen las disposiciones para la comercialización y del uso de mercurio en las diferentes actividades industriales del país, se fijan requisitos e incentivos para su reducción y eliminación y se dictan otras disposiciones”. </w:t>
      </w:r>
      <w:r w:rsidR="005D0A47">
        <w:rPr>
          <w:rFonts w:ascii="Arial Narrow" w:hAnsi="Arial Narrow" w:cs="Arial"/>
          <w:sz w:val="24"/>
          <w:szCs w:val="24"/>
          <w:lang w:eastAsia="es-CO"/>
        </w:rPr>
        <w:t xml:space="preserve">Con la expedición de esta Ley se buscó </w:t>
      </w:r>
      <w:r w:rsidR="005D0A47" w:rsidRPr="007140F3">
        <w:rPr>
          <w:rFonts w:ascii="Arial Narrow" w:hAnsi="Arial Narrow" w:cs="Arial"/>
          <w:sz w:val="24"/>
          <w:szCs w:val="24"/>
          <w:lang w:eastAsia="es-CO"/>
        </w:rPr>
        <w:t>proteger y salvaguardar la salud humana, y</w:t>
      </w:r>
      <w:r w:rsidR="005D0A47">
        <w:rPr>
          <w:rFonts w:ascii="Arial Narrow" w:hAnsi="Arial Narrow" w:cs="Arial"/>
          <w:sz w:val="24"/>
          <w:szCs w:val="24"/>
          <w:lang w:eastAsia="es-CO"/>
        </w:rPr>
        <w:t xml:space="preserve"> </w:t>
      </w:r>
      <w:r w:rsidR="005D0A47" w:rsidRPr="007140F3">
        <w:rPr>
          <w:rFonts w:ascii="Arial Narrow" w:hAnsi="Arial Narrow" w:cs="Arial"/>
          <w:sz w:val="24"/>
          <w:szCs w:val="24"/>
          <w:lang w:eastAsia="es-CO"/>
        </w:rPr>
        <w:t>preservar los recursos naturales renovables y el ambiente</w:t>
      </w:r>
      <w:r w:rsidR="005D0A47">
        <w:rPr>
          <w:rFonts w:ascii="Arial Narrow" w:hAnsi="Arial Narrow" w:cs="Arial"/>
          <w:sz w:val="24"/>
          <w:szCs w:val="24"/>
          <w:lang w:eastAsia="es-CO"/>
        </w:rPr>
        <w:t xml:space="preserve">, teniendo en cuenta </w:t>
      </w:r>
      <w:r w:rsidR="005D0A47" w:rsidRPr="007140F3">
        <w:rPr>
          <w:rFonts w:ascii="Arial Narrow" w:hAnsi="Arial Narrow" w:cs="Arial"/>
          <w:sz w:val="24"/>
          <w:szCs w:val="24"/>
          <w:lang w:eastAsia="es-CO"/>
        </w:rPr>
        <w:t>que el uso del mercurio implica</w:t>
      </w:r>
      <w:r w:rsidR="005D0A47">
        <w:rPr>
          <w:rFonts w:ascii="Arial Narrow" w:hAnsi="Arial Narrow" w:cs="Arial"/>
          <w:sz w:val="24"/>
          <w:szCs w:val="24"/>
          <w:lang w:eastAsia="es-CO"/>
        </w:rPr>
        <w:t xml:space="preserve"> riesgos</w:t>
      </w:r>
      <w:r w:rsidR="005D0A47" w:rsidRPr="007140F3">
        <w:rPr>
          <w:rFonts w:ascii="Arial Narrow" w:hAnsi="Arial Narrow" w:cs="Arial"/>
          <w:sz w:val="24"/>
          <w:szCs w:val="24"/>
          <w:lang w:eastAsia="es-CO"/>
        </w:rPr>
        <w:t xml:space="preserve"> para la salud </w:t>
      </w:r>
      <w:r w:rsidR="005D0A47">
        <w:rPr>
          <w:rFonts w:ascii="Arial Narrow" w:hAnsi="Arial Narrow" w:cs="Arial"/>
          <w:sz w:val="24"/>
          <w:szCs w:val="24"/>
          <w:lang w:eastAsia="es-CO"/>
        </w:rPr>
        <w:t xml:space="preserve">humana, </w:t>
      </w:r>
      <w:r w:rsidR="005D0A47" w:rsidRPr="007140F3">
        <w:rPr>
          <w:rFonts w:ascii="Arial Narrow" w:hAnsi="Arial Narrow" w:cs="Arial"/>
          <w:sz w:val="24"/>
          <w:szCs w:val="24"/>
          <w:lang w:eastAsia="es-CO"/>
        </w:rPr>
        <w:t>ampliamente documentados como, la enfermedad de Minamata. Esta Ley prohíbe</w:t>
      </w:r>
      <w:r>
        <w:rPr>
          <w:rFonts w:ascii="Arial Narrow" w:hAnsi="Arial Narrow" w:cs="Arial"/>
          <w:sz w:val="24"/>
          <w:szCs w:val="24"/>
          <w:lang w:eastAsia="es-CO"/>
        </w:rPr>
        <w:t xml:space="preserve"> </w:t>
      </w:r>
      <w:r w:rsidR="005D0A47" w:rsidRPr="007140F3">
        <w:rPr>
          <w:rFonts w:ascii="Arial Narrow" w:hAnsi="Arial Narrow" w:cs="Arial"/>
          <w:sz w:val="24"/>
          <w:szCs w:val="24"/>
          <w:lang w:eastAsia="es-CO"/>
        </w:rPr>
        <w:t>el uso de la sustancia en las actividades mineras e industriales, y además establece medidas</w:t>
      </w:r>
      <w:r w:rsidR="005D0A47">
        <w:rPr>
          <w:rFonts w:ascii="Arial Narrow" w:hAnsi="Arial Narrow" w:cs="Arial"/>
          <w:sz w:val="24"/>
          <w:szCs w:val="24"/>
          <w:lang w:eastAsia="es-CO"/>
        </w:rPr>
        <w:t xml:space="preserve"> para</w:t>
      </w:r>
      <w:r w:rsidR="005D0A47" w:rsidRPr="007140F3">
        <w:rPr>
          <w:rFonts w:ascii="Arial Narrow" w:hAnsi="Arial Narrow" w:cs="Arial"/>
          <w:sz w:val="24"/>
          <w:szCs w:val="24"/>
          <w:lang w:eastAsia="es-CO"/>
        </w:rPr>
        <w:t xml:space="preserve"> el control y la restricción a la importación y comercialización de mercurio y los productos</w:t>
      </w:r>
      <w:r w:rsidR="005D0A47">
        <w:rPr>
          <w:rFonts w:ascii="Arial Narrow" w:hAnsi="Arial Narrow" w:cs="Arial"/>
          <w:sz w:val="24"/>
          <w:szCs w:val="24"/>
          <w:lang w:eastAsia="es-CO"/>
        </w:rPr>
        <w:t xml:space="preserve"> </w:t>
      </w:r>
      <w:r w:rsidR="005D0A47" w:rsidRPr="007140F3">
        <w:rPr>
          <w:rFonts w:ascii="Arial Narrow" w:hAnsi="Arial Narrow" w:cs="Arial"/>
          <w:sz w:val="24"/>
          <w:szCs w:val="24"/>
          <w:lang w:eastAsia="es-CO"/>
        </w:rPr>
        <w:t>que lo contengan.</w:t>
      </w:r>
    </w:p>
    <w:p w:rsidR="005D0A47" w:rsidRDefault="005D0A47" w:rsidP="007140F3">
      <w:pPr>
        <w:autoSpaceDE w:val="0"/>
        <w:autoSpaceDN w:val="0"/>
        <w:adjustRightInd w:val="0"/>
        <w:rPr>
          <w:rFonts w:ascii="Arial Narrow" w:hAnsi="Arial Narrow" w:cs="Arial"/>
          <w:sz w:val="24"/>
          <w:szCs w:val="24"/>
          <w:lang w:eastAsia="es-CO"/>
        </w:rPr>
      </w:pPr>
    </w:p>
    <w:p w:rsidR="007140F3" w:rsidRPr="00BB7E5C" w:rsidRDefault="00BB7E5C" w:rsidP="007140F3">
      <w:pPr>
        <w:autoSpaceDE w:val="0"/>
        <w:autoSpaceDN w:val="0"/>
        <w:adjustRightInd w:val="0"/>
        <w:rPr>
          <w:rFonts w:ascii="Arial Narrow" w:hAnsi="Arial Narrow" w:cs="Arial"/>
          <w:i/>
          <w:sz w:val="24"/>
          <w:szCs w:val="24"/>
          <w:lang w:eastAsia="es-CO"/>
        </w:rPr>
      </w:pPr>
      <w:r>
        <w:rPr>
          <w:rFonts w:ascii="Arial Narrow" w:hAnsi="Arial Narrow" w:cs="Arial"/>
          <w:sz w:val="24"/>
          <w:szCs w:val="24"/>
          <w:lang w:eastAsia="es-CO"/>
        </w:rPr>
        <w:t>E</w:t>
      </w:r>
      <w:r w:rsidR="007140F3" w:rsidRPr="007140F3">
        <w:rPr>
          <w:rFonts w:ascii="Arial Narrow" w:hAnsi="Arial Narrow" w:cs="Arial"/>
          <w:sz w:val="24"/>
          <w:szCs w:val="24"/>
          <w:lang w:eastAsia="es-CO"/>
        </w:rPr>
        <w:t>l Artículo 12° de la mencionada Ley establece: “</w:t>
      </w:r>
      <w:r>
        <w:rPr>
          <w:rFonts w:ascii="Arial Narrow" w:hAnsi="Arial Narrow" w:cs="Arial"/>
          <w:sz w:val="24"/>
          <w:szCs w:val="24"/>
          <w:lang w:eastAsia="es-CO"/>
        </w:rPr>
        <w:t xml:space="preserve">Artículo 1. </w:t>
      </w:r>
      <w:r w:rsidRPr="00BB7E5C">
        <w:rPr>
          <w:rFonts w:ascii="Arial Narrow" w:hAnsi="Arial Narrow" w:cs="Arial"/>
          <w:i/>
          <w:sz w:val="24"/>
          <w:szCs w:val="24"/>
          <w:lang w:eastAsia="es-CO"/>
        </w:rPr>
        <w:t>Establecimiento del Sello Minero Ambiental Colombiano.</w:t>
      </w:r>
      <w:r w:rsidR="007140F3" w:rsidRPr="00BB7E5C">
        <w:rPr>
          <w:rFonts w:ascii="Arial Narrow" w:hAnsi="Arial Narrow" w:cs="Arial"/>
          <w:i/>
          <w:sz w:val="24"/>
          <w:szCs w:val="24"/>
          <w:lang w:eastAsia="es-CO"/>
        </w:rPr>
        <w:t xml:space="preserve"> En un plazo no mayor a seis (6) meses, el Ministerio de Ambiente y Desarrollo Sostenible expedirá la reglamentación que </w:t>
      </w:r>
      <w:r w:rsidR="007140F3" w:rsidRPr="00BB7E5C">
        <w:rPr>
          <w:rFonts w:ascii="Arial Narrow" w:hAnsi="Arial Narrow" w:cs="Arial"/>
          <w:i/>
          <w:sz w:val="24"/>
          <w:szCs w:val="24"/>
          <w:lang w:eastAsia="es-CO"/>
        </w:rPr>
        <w:lastRenderedPageBreak/>
        <w:t>establece y regula el “Sello Minero Ambiental Colombiano”, mediante el cual, y de acuerdo con los procedimientos que para efectos similares ha determinado, se podrá identificar el producto de las actividades mineras que no usen mercurio y emplean procedimientos amigables con el medio ambiente.</w:t>
      </w:r>
    </w:p>
    <w:p w:rsidR="007140F3" w:rsidRPr="00BB7E5C" w:rsidRDefault="007140F3" w:rsidP="007140F3">
      <w:pPr>
        <w:autoSpaceDE w:val="0"/>
        <w:autoSpaceDN w:val="0"/>
        <w:adjustRightInd w:val="0"/>
        <w:rPr>
          <w:rFonts w:ascii="Arial Narrow" w:hAnsi="Arial Narrow" w:cs="Arial"/>
          <w:i/>
          <w:sz w:val="24"/>
          <w:szCs w:val="24"/>
          <w:lang w:eastAsia="es-CO"/>
        </w:rPr>
      </w:pPr>
      <w:r w:rsidRPr="00BB7E5C">
        <w:rPr>
          <w:rFonts w:ascii="Arial Narrow" w:hAnsi="Arial Narrow" w:cs="Arial"/>
          <w:i/>
          <w:sz w:val="24"/>
          <w:szCs w:val="24"/>
          <w:lang w:eastAsia="es-CO"/>
        </w:rPr>
        <w:t>ara el efecto el Ministerio de Minas y Energía promoverá el desarrollo de las normas técnicas necesarias para garantizar la aplicación del reglamento que aquí se establece.</w:t>
      </w:r>
    </w:p>
    <w:p w:rsidR="007140F3" w:rsidRPr="00BB7E5C" w:rsidRDefault="007140F3" w:rsidP="007140F3">
      <w:pPr>
        <w:autoSpaceDE w:val="0"/>
        <w:autoSpaceDN w:val="0"/>
        <w:adjustRightInd w:val="0"/>
        <w:rPr>
          <w:rFonts w:ascii="Arial Narrow" w:hAnsi="Arial Narrow" w:cs="Arial"/>
          <w:i/>
          <w:sz w:val="24"/>
          <w:szCs w:val="24"/>
          <w:lang w:eastAsia="es-CO"/>
        </w:rPr>
      </w:pPr>
    </w:p>
    <w:p w:rsidR="007140F3" w:rsidRPr="00BB7E5C" w:rsidRDefault="007140F3" w:rsidP="007140F3">
      <w:pPr>
        <w:autoSpaceDE w:val="0"/>
        <w:autoSpaceDN w:val="0"/>
        <w:adjustRightInd w:val="0"/>
        <w:rPr>
          <w:rFonts w:ascii="Arial Narrow" w:hAnsi="Arial Narrow" w:cs="Arial"/>
          <w:i/>
          <w:sz w:val="24"/>
          <w:szCs w:val="24"/>
          <w:lang w:eastAsia="es-CO"/>
        </w:rPr>
      </w:pPr>
      <w:r w:rsidRPr="00BB7E5C">
        <w:rPr>
          <w:rFonts w:ascii="Arial Narrow" w:hAnsi="Arial Narrow" w:cs="Arial"/>
          <w:i/>
          <w:sz w:val="24"/>
          <w:szCs w:val="24"/>
          <w:lang w:eastAsia="es-CO"/>
        </w:rPr>
        <w:t>El Ministerio de Comercio, Industria y Turismo para el caso de los procesos industriales y sus productos, impulsará la solicitud y apoyará el desarrollo de los estudios de factibilidad que deban realizarse para la selección de las diferentes categorías de productos que permitan la aplicación del “Sello Ambiental Colombiano”, de acuerdo con lo dispuesto en la presente ley, en especial lo relacionado con Mercurio.”</w:t>
      </w:r>
    </w:p>
    <w:p w:rsidR="008562FB" w:rsidRPr="00EB21D9" w:rsidRDefault="008562FB" w:rsidP="001935DB">
      <w:pPr>
        <w:autoSpaceDE w:val="0"/>
        <w:autoSpaceDN w:val="0"/>
        <w:adjustRightInd w:val="0"/>
        <w:rPr>
          <w:rFonts w:ascii="Arial Narrow" w:hAnsi="Arial Narrow" w:cs="Arial"/>
          <w:sz w:val="24"/>
          <w:szCs w:val="24"/>
          <w:lang w:eastAsia="es-CO"/>
        </w:rPr>
      </w:pPr>
    </w:p>
    <w:p w:rsidR="00BB7E5C" w:rsidRPr="00BB7E5C" w:rsidRDefault="00BB7E5C" w:rsidP="00BB7E5C">
      <w:pPr>
        <w:autoSpaceDE w:val="0"/>
        <w:autoSpaceDN w:val="0"/>
        <w:adjustRightInd w:val="0"/>
        <w:rPr>
          <w:rFonts w:ascii="Arial Narrow" w:hAnsi="Arial Narrow" w:cs="Arial"/>
          <w:sz w:val="24"/>
          <w:szCs w:val="24"/>
          <w:lang w:eastAsia="es-CO"/>
        </w:rPr>
      </w:pPr>
      <w:r>
        <w:rPr>
          <w:rFonts w:ascii="Arial Narrow" w:hAnsi="Arial Narrow" w:cs="Arial"/>
          <w:sz w:val="24"/>
          <w:szCs w:val="24"/>
          <w:lang w:eastAsia="es-CO"/>
        </w:rPr>
        <w:t>M</w:t>
      </w:r>
      <w:r w:rsidRPr="00BB7E5C">
        <w:rPr>
          <w:rFonts w:ascii="Arial Narrow" w:hAnsi="Arial Narrow" w:cs="Arial"/>
          <w:sz w:val="24"/>
          <w:szCs w:val="24"/>
          <w:lang w:eastAsia="es-CO"/>
        </w:rPr>
        <w:t>ediante fallo de fecha 20 de junio de 2018 el Tribunal Administrativo - Oral Sección Primera Magistrada Ponente. Claudia Elizabeth Lozzi Moreno Ref.: Acciones de Cumplimiento con Radicación número: 25000-23-41-000-2018-00497-01, Actor: Procuraduría 22 Judicial II Ambiental y Agrario, Demandado: Nación, Ministerio de Ambiente y Desarrollo Sostenibles, Asunto: Acción de cumplimiento. Fallo de segunda instancia, ordenó lo siguiente:</w:t>
      </w:r>
    </w:p>
    <w:p w:rsidR="00BB7E5C" w:rsidRPr="0058530F" w:rsidRDefault="00BB7E5C" w:rsidP="00BB7E5C">
      <w:pPr>
        <w:rPr>
          <w:rFonts w:cs="Arial"/>
          <w:szCs w:val="24"/>
          <w:lang w:eastAsia="es-CO"/>
        </w:rPr>
      </w:pPr>
    </w:p>
    <w:p w:rsidR="00BB7E5C" w:rsidRPr="00BB7E5C" w:rsidRDefault="00BB7E5C" w:rsidP="00BB7E5C">
      <w:pPr>
        <w:ind w:left="567" w:right="567"/>
        <w:rPr>
          <w:rFonts w:ascii="Arial Narrow" w:hAnsi="Arial Narrow" w:cs="Arial"/>
          <w:i/>
          <w:szCs w:val="24"/>
          <w:lang w:eastAsia="es-CO"/>
        </w:rPr>
      </w:pPr>
      <w:r w:rsidRPr="00BB7E5C">
        <w:rPr>
          <w:rFonts w:ascii="Arial Narrow" w:hAnsi="Arial Narrow" w:cs="Arial"/>
          <w:b/>
          <w:i/>
          <w:szCs w:val="24"/>
          <w:lang w:eastAsia="es-CO"/>
        </w:rPr>
        <w:t>PRIMERO:</w:t>
      </w:r>
      <w:r w:rsidRPr="00BB7E5C">
        <w:rPr>
          <w:rFonts w:ascii="Arial Narrow" w:hAnsi="Arial Narrow" w:cs="Arial"/>
          <w:i/>
          <w:szCs w:val="24"/>
          <w:lang w:eastAsia="es-CO"/>
        </w:rPr>
        <w:t xml:space="preserve"> DECLARARE el incumplimiento por parte del Ministerio de Ambiente y Desarrollo Sostenible del artículo 12 de la Ley 1658 de 2013, por lo motivos expuestos en esta providencia.</w:t>
      </w:r>
    </w:p>
    <w:p w:rsidR="00BB7E5C" w:rsidRPr="00BB7E5C" w:rsidRDefault="00BB7E5C" w:rsidP="00BB7E5C">
      <w:pPr>
        <w:ind w:left="567" w:right="567"/>
        <w:rPr>
          <w:rFonts w:ascii="Arial Narrow" w:hAnsi="Arial Narrow" w:cs="Arial"/>
          <w:i/>
          <w:szCs w:val="24"/>
          <w:lang w:eastAsia="es-CO"/>
        </w:rPr>
      </w:pPr>
    </w:p>
    <w:p w:rsidR="00BB7E5C" w:rsidRPr="00BB7E5C" w:rsidRDefault="00BB7E5C" w:rsidP="00BB7E5C">
      <w:pPr>
        <w:ind w:left="567" w:right="567"/>
        <w:rPr>
          <w:rFonts w:ascii="Arial Narrow" w:hAnsi="Arial Narrow" w:cs="Arial"/>
          <w:i/>
          <w:szCs w:val="24"/>
          <w:lang w:eastAsia="es-CO"/>
        </w:rPr>
      </w:pPr>
      <w:r w:rsidRPr="00BB7E5C">
        <w:rPr>
          <w:rFonts w:ascii="Arial Narrow" w:hAnsi="Arial Narrow" w:cs="Arial"/>
          <w:b/>
          <w:i/>
          <w:szCs w:val="24"/>
          <w:lang w:eastAsia="es-CO"/>
        </w:rPr>
        <w:t>SEGUNDO:</w:t>
      </w:r>
      <w:r w:rsidRPr="00BB7E5C">
        <w:rPr>
          <w:rFonts w:ascii="Arial Narrow" w:hAnsi="Arial Narrow" w:cs="Arial"/>
          <w:i/>
          <w:szCs w:val="24"/>
          <w:lang w:eastAsia="es-CO"/>
        </w:rPr>
        <w:t xml:space="preserve"> En consecuencia, ORDENESE al Ministerio de Ambiente y Desarrollo Sostenible, para que dentro del término improrrogable de los diez (10) días siguientes a la ejecutoria de esta resolución, procedan a dar efectivo cumplimiento a los mandatos contenidos en el artículo 12 de la Ley 1658 de 2013 expidiendo la reglamentación referida en esta disposición.</w:t>
      </w:r>
    </w:p>
    <w:p w:rsidR="00BB7E5C" w:rsidRDefault="00BB7E5C" w:rsidP="00BB7E5C">
      <w:pPr>
        <w:rPr>
          <w:rFonts w:cs="Arial"/>
          <w:szCs w:val="24"/>
          <w:lang w:eastAsia="es-CO"/>
        </w:rPr>
      </w:pPr>
    </w:p>
    <w:p w:rsidR="00BB7E5C" w:rsidRPr="00BB7E5C" w:rsidRDefault="00BB7E5C" w:rsidP="00BB7E5C">
      <w:pPr>
        <w:autoSpaceDE w:val="0"/>
        <w:autoSpaceDN w:val="0"/>
        <w:adjustRightInd w:val="0"/>
        <w:rPr>
          <w:rFonts w:ascii="Arial Narrow" w:hAnsi="Arial Narrow" w:cs="Arial"/>
          <w:sz w:val="24"/>
          <w:szCs w:val="24"/>
          <w:lang w:eastAsia="es-CO"/>
        </w:rPr>
      </w:pPr>
      <w:r w:rsidRPr="00BB7E5C">
        <w:rPr>
          <w:rFonts w:ascii="Arial Narrow" w:hAnsi="Arial Narrow" w:cs="Arial"/>
          <w:sz w:val="24"/>
          <w:szCs w:val="24"/>
          <w:lang w:eastAsia="es-CO"/>
        </w:rPr>
        <w:t>Mediante fallo de fecha 30 de agosto de 2018 proferido por Consejo de Estado Sala De Lo Contencioso Administrativo Sección Quinta, Consejera ponente: Lucy Jeannette Bermúdez Bermúdez, Radicación número: 25000-23-41-000-2018-00497-01, Actor: Procuraduría 22 Judicial II Ambiental y Agrario, Demandado: Nación, Ministerio de Ambiente y Desarrollo Sostenibles, Asunto: Acción de cumplimiento. Fallo de segunda instancia, ordenó lo siguiente:</w:t>
      </w:r>
    </w:p>
    <w:p w:rsidR="00BB7E5C" w:rsidRPr="0058530F" w:rsidRDefault="00BB7E5C" w:rsidP="00BB7E5C">
      <w:pPr>
        <w:tabs>
          <w:tab w:val="left" w:pos="5220"/>
        </w:tabs>
        <w:spacing w:line="259" w:lineRule="auto"/>
        <w:jc w:val="center"/>
        <w:rPr>
          <w:rFonts w:eastAsia="Calibri" w:cs="Arial"/>
          <w:b/>
          <w:szCs w:val="24"/>
          <w:lang w:eastAsia="en-US"/>
        </w:rPr>
      </w:pPr>
    </w:p>
    <w:p w:rsidR="00BB7E5C" w:rsidRPr="0058530F" w:rsidRDefault="00BB7E5C" w:rsidP="00BB7E5C">
      <w:pPr>
        <w:tabs>
          <w:tab w:val="left" w:pos="5220"/>
        </w:tabs>
        <w:spacing w:line="259" w:lineRule="auto"/>
        <w:ind w:left="567" w:right="567"/>
        <w:rPr>
          <w:rFonts w:eastAsia="Calibri" w:cs="Arial"/>
          <w:i/>
          <w:szCs w:val="24"/>
          <w:lang w:eastAsia="en-US"/>
        </w:rPr>
      </w:pPr>
      <w:r w:rsidRPr="0058530F">
        <w:rPr>
          <w:rFonts w:eastAsia="Calibri" w:cs="Arial"/>
          <w:b/>
          <w:i/>
          <w:szCs w:val="24"/>
          <w:lang w:eastAsia="en-US"/>
        </w:rPr>
        <w:t xml:space="preserve">“ </w:t>
      </w:r>
      <w:r w:rsidRPr="0058530F">
        <w:rPr>
          <w:rFonts w:eastAsia="Calibri" w:cs="Arial"/>
          <w:i/>
          <w:szCs w:val="24"/>
          <w:lang w:eastAsia="en-US"/>
        </w:rPr>
        <w:t xml:space="preserve">(…) </w:t>
      </w:r>
    </w:p>
    <w:p w:rsidR="00BB7E5C" w:rsidRPr="0058530F" w:rsidRDefault="00BB7E5C" w:rsidP="00BB7E5C">
      <w:pPr>
        <w:tabs>
          <w:tab w:val="left" w:pos="5220"/>
        </w:tabs>
        <w:spacing w:line="259" w:lineRule="auto"/>
        <w:ind w:left="567" w:right="567"/>
        <w:rPr>
          <w:rFonts w:eastAsia="Calibri" w:cs="Arial"/>
          <w:i/>
          <w:szCs w:val="24"/>
          <w:lang w:eastAsia="en-US"/>
        </w:rPr>
      </w:pPr>
    </w:p>
    <w:p w:rsidR="00BB7E5C" w:rsidRPr="00BB7E5C" w:rsidRDefault="00BB7E5C" w:rsidP="00BB7E5C">
      <w:pPr>
        <w:tabs>
          <w:tab w:val="left" w:pos="5220"/>
        </w:tabs>
        <w:spacing w:line="259" w:lineRule="auto"/>
        <w:ind w:left="567" w:right="567"/>
        <w:rPr>
          <w:rFonts w:ascii="Arial Narrow" w:eastAsia="Calibri" w:hAnsi="Arial Narrow" w:cs="Arial"/>
          <w:i/>
          <w:szCs w:val="24"/>
          <w:lang w:eastAsia="en-US"/>
        </w:rPr>
      </w:pPr>
      <w:r w:rsidRPr="00BB7E5C">
        <w:rPr>
          <w:rFonts w:ascii="Arial Narrow" w:eastAsia="Calibri" w:hAnsi="Arial Narrow" w:cs="Arial"/>
          <w:i/>
          <w:szCs w:val="24"/>
          <w:lang w:eastAsia="en-US"/>
        </w:rPr>
        <w:t>Visto lo anterior resulta claro que el Ministerio de Ambiente y Desarrollo Sostenible no ha acatado la norma referida, pues la regulación a la que alude en la NTC 6268, que fue expedida con fundamento en la Resolución 1555 de 2005, y solo menciona la minería artesanal de pequeña y mediana escala, dejando por fuera la categoría tecnificada.</w:t>
      </w:r>
    </w:p>
    <w:p w:rsidR="00BB7E5C" w:rsidRPr="0058530F" w:rsidRDefault="00BB7E5C" w:rsidP="00BB7E5C">
      <w:pPr>
        <w:tabs>
          <w:tab w:val="left" w:pos="5220"/>
        </w:tabs>
        <w:spacing w:line="259" w:lineRule="auto"/>
        <w:ind w:left="567" w:right="567"/>
        <w:rPr>
          <w:rFonts w:eastAsia="Calibri" w:cs="Arial"/>
          <w:i/>
          <w:szCs w:val="24"/>
          <w:lang w:eastAsia="en-US"/>
        </w:rPr>
      </w:pPr>
    </w:p>
    <w:p w:rsidR="00BB7E5C" w:rsidRPr="00BB7E5C" w:rsidRDefault="00BB7E5C" w:rsidP="00BB7E5C">
      <w:pPr>
        <w:tabs>
          <w:tab w:val="left" w:pos="5220"/>
        </w:tabs>
        <w:spacing w:line="259" w:lineRule="auto"/>
        <w:ind w:left="567" w:right="567"/>
        <w:rPr>
          <w:rFonts w:ascii="Arial Narrow" w:eastAsia="Calibri" w:hAnsi="Arial Narrow" w:cs="Arial"/>
          <w:i/>
          <w:szCs w:val="24"/>
          <w:lang w:eastAsia="en-US"/>
        </w:rPr>
      </w:pPr>
      <w:r w:rsidRPr="00BB7E5C">
        <w:rPr>
          <w:rFonts w:ascii="Arial Narrow" w:eastAsia="Calibri" w:hAnsi="Arial Narrow" w:cs="Arial"/>
          <w:i/>
          <w:szCs w:val="24"/>
          <w:lang w:eastAsia="en-US"/>
        </w:rPr>
        <w:lastRenderedPageBreak/>
        <w:t>Para la Sala no puede entenderse que con la NTC 6268 se haya dado cumplimiento a lo establecido en el artículo 12 de la Ley 1658 de 2013, máxime cuando la primera no hace alusión a que se profirió en obedecimiento a la segunda, por el contrario, señaló que se expidió en atención a la Resolución 1555 de octubre de 2005, una norma anterior que a simple vista no pudo haber analizado el tema que se debería regular con posterioridad.</w:t>
      </w:r>
    </w:p>
    <w:p w:rsidR="00BB7E5C" w:rsidRPr="0058530F" w:rsidRDefault="00BB7E5C" w:rsidP="00BB7E5C">
      <w:pPr>
        <w:tabs>
          <w:tab w:val="left" w:pos="5220"/>
        </w:tabs>
        <w:spacing w:line="259" w:lineRule="auto"/>
        <w:ind w:left="567" w:right="567"/>
        <w:rPr>
          <w:rFonts w:eastAsia="Calibri" w:cs="Arial"/>
          <w:i/>
          <w:szCs w:val="24"/>
          <w:lang w:eastAsia="en-US"/>
        </w:rPr>
      </w:pPr>
    </w:p>
    <w:p w:rsidR="000828AD" w:rsidRPr="00BB7E5C" w:rsidRDefault="00BB7E5C" w:rsidP="00BB7E5C">
      <w:pPr>
        <w:autoSpaceDE w:val="0"/>
        <w:autoSpaceDN w:val="0"/>
        <w:adjustRightInd w:val="0"/>
        <w:rPr>
          <w:rFonts w:ascii="Arial Narrow" w:hAnsi="Arial Narrow"/>
          <w:i/>
          <w:sz w:val="24"/>
          <w:szCs w:val="24"/>
          <w:lang w:val="es-MX"/>
        </w:rPr>
      </w:pPr>
      <w:r w:rsidRPr="00BB7E5C">
        <w:rPr>
          <w:rFonts w:ascii="Arial Narrow" w:eastAsia="Calibri" w:hAnsi="Arial Narrow" w:cs="Arial"/>
          <w:i/>
          <w:szCs w:val="24"/>
          <w:lang w:eastAsia="en-US"/>
        </w:rPr>
        <w:t xml:space="preserve">Además, tal como señaló el accionante la NTC 6268 creó el “Sello Ambiental Colombiano” solo para la minería artesanal, en pequeña y mediana escala y dejo por fuera los productos provenientes de la actividad minera tecnificada, a gran escala o gran minería, que son </w:t>
      </w:r>
      <w:r w:rsidR="009836FC" w:rsidRPr="00BB7E5C">
        <w:rPr>
          <w:rFonts w:ascii="Arial Narrow" w:eastAsia="Calibri" w:hAnsi="Arial Narrow" w:cs="Arial"/>
          <w:i/>
          <w:szCs w:val="24"/>
          <w:lang w:eastAsia="en-US"/>
        </w:rPr>
        <w:t>las generadoras</w:t>
      </w:r>
      <w:r w:rsidRPr="00BB7E5C">
        <w:rPr>
          <w:rFonts w:ascii="Arial Narrow" w:eastAsia="Calibri" w:hAnsi="Arial Narrow" w:cs="Arial"/>
          <w:i/>
          <w:szCs w:val="24"/>
          <w:lang w:eastAsia="en-US"/>
        </w:rPr>
        <w:t xml:space="preserve"> de mayores impactos ambientales negativos a los recursos</w:t>
      </w:r>
    </w:p>
    <w:p w:rsidR="005A7498" w:rsidRPr="00EB21D9" w:rsidRDefault="00322068" w:rsidP="006D2417">
      <w:pPr>
        <w:spacing w:before="100" w:beforeAutospacing="1" w:after="100" w:afterAutospacing="1"/>
        <w:rPr>
          <w:rFonts w:ascii="Arial Narrow" w:hAnsi="Arial Narrow" w:cs="Arial"/>
          <w:sz w:val="24"/>
          <w:szCs w:val="24"/>
          <w:lang w:eastAsia="es-CO"/>
        </w:rPr>
      </w:pPr>
      <w:r w:rsidRPr="00EB21D9">
        <w:rPr>
          <w:rFonts w:ascii="Arial Narrow" w:hAnsi="Arial Narrow" w:cs="Arial"/>
          <w:sz w:val="24"/>
          <w:szCs w:val="24"/>
          <w:lang w:eastAsia="es-CO"/>
        </w:rPr>
        <w:t>P</w:t>
      </w:r>
      <w:r w:rsidR="00247F4A" w:rsidRPr="00EB21D9">
        <w:rPr>
          <w:rFonts w:ascii="Arial Narrow" w:hAnsi="Arial Narrow" w:cs="Arial"/>
          <w:sz w:val="24"/>
          <w:szCs w:val="24"/>
          <w:lang w:eastAsia="es-CO"/>
        </w:rPr>
        <w:t>or las</w:t>
      </w:r>
      <w:r w:rsidR="005A7498" w:rsidRPr="00EB21D9">
        <w:rPr>
          <w:rFonts w:ascii="Arial Narrow" w:hAnsi="Arial Narrow" w:cs="Arial"/>
          <w:sz w:val="24"/>
          <w:szCs w:val="24"/>
          <w:lang w:eastAsia="es-CO"/>
        </w:rPr>
        <w:t xml:space="preserve"> razones </w:t>
      </w:r>
      <w:r w:rsidR="00247F4A" w:rsidRPr="00EB21D9">
        <w:rPr>
          <w:rFonts w:ascii="Arial Narrow" w:hAnsi="Arial Narrow" w:cs="Arial"/>
          <w:sz w:val="24"/>
          <w:szCs w:val="24"/>
          <w:lang w:eastAsia="es-CO"/>
        </w:rPr>
        <w:t xml:space="preserve">descritas anteriormente </w:t>
      </w:r>
      <w:r w:rsidR="00BB7E5C">
        <w:rPr>
          <w:rFonts w:ascii="Arial Narrow" w:hAnsi="Arial Narrow" w:cs="Arial"/>
          <w:sz w:val="24"/>
          <w:szCs w:val="24"/>
          <w:lang w:eastAsia="es-CO"/>
        </w:rPr>
        <w:t>el Ministerio de Ambiente y Desarrollo Sostenible debe cumplir con la creación y reglamentación del Sello Minero Ambiental Colombiano.</w:t>
      </w:r>
    </w:p>
    <w:p w:rsidR="00EB21D9" w:rsidRDefault="001C0C1F" w:rsidP="00322068">
      <w:pPr>
        <w:spacing w:before="100" w:beforeAutospacing="1" w:after="100" w:afterAutospacing="1"/>
        <w:rPr>
          <w:rFonts w:ascii="Arial Narrow" w:hAnsi="Arial Narrow" w:cs="Arial"/>
          <w:b/>
          <w:sz w:val="24"/>
          <w:szCs w:val="24"/>
        </w:rPr>
      </w:pPr>
      <w:r w:rsidRPr="00EB21D9">
        <w:rPr>
          <w:rFonts w:ascii="Arial Narrow" w:hAnsi="Arial Narrow" w:cs="Arial"/>
          <w:b/>
          <w:sz w:val="24"/>
          <w:szCs w:val="24"/>
          <w:lang w:eastAsia="es-CO"/>
        </w:rPr>
        <w:t>Á</w:t>
      </w:r>
      <w:r w:rsidR="006D2417" w:rsidRPr="00EB21D9">
        <w:rPr>
          <w:rFonts w:ascii="Arial Narrow" w:hAnsi="Arial Narrow" w:cs="Arial"/>
          <w:b/>
          <w:sz w:val="24"/>
          <w:szCs w:val="24"/>
        </w:rPr>
        <w:t>mbito de aplicación y sujetos a la que va dirigida</w:t>
      </w:r>
    </w:p>
    <w:p w:rsidR="00D02546" w:rsidRDefault="00D02546" w:rsidP="00D02546">
      <w:pPr>
        <w:autoSpaceDE w:val="0"/>
        <w:rPr>
          <w:rFonts w:ascii="Arial Narrow" w:hAnsi="Arial Narrow" w:cs="Arial"/>
          <w:sz w:val="24"/>
          <w:szCs w:val="24"/>
        </w:rPr>
      </w:pPr>
      <w:r w:rsidRPr="00D02546">
        <w:rPr>
          <w:rFonts w:ascii="Arial Narrow" w:hAnsi="Arial Narrow" w:cs="Arial"/>
          <w:sz w:val="24"/>
          <w:szCs w:val="24"/>
        </w:rPr>
        <w:t>Se aplica</w:t>
      </w:r>
      <w:r>
        <w:rPr>
          <w:rFonts w:ascii="Arial Narrow" w:hAnsi="Arial Narrow" w:cs="Arial"/>
          <w:sz w:val="24"/>
          <w:szCs w:val="24"/>
        </w:rPr>
        <w:t xml:space="preserve"> a mineros que desarrollan actividades de explotación y beneficio de metales</w:t>
      </w:r>
      <w:r w:rsidRPr="00D02546">
        <w:rPr>
          <w:rFonts w:ascii="Arial Narrow" w:hAnsi="Arial Narrow" w:cs="Arial"/>
          <w:sz w:val="24"/>
          <w:szCs w:val="24"/>
        </w:rPr>
        <w:t xml:space="preserve"> preciosos, comercializados para lo cual deberán cumplir con los requisitos establecidos</w:t>
      </w:r>
      <w:r>
        <w:rPr>
          <w:rFonts w:ascii="Arial Narrow" w:hAnsi="Arial Narrow" w:cs="Arial"/>
          <w:sz w:val="24"/>
          <w:szCs w:val="24"/>
        </w:rPr>
        <w:t xml:space="preserve"> en la resolución y que quieran optar por el Sello Minero Ambiental Colombiano.</w:t>
      </w:r>
    </w:p>
    <w:p w:rsidR="00D02546" w:rsidRDefault="00D02546" w:rsidP="00D02546">
      <w:pPr>
        <w:autoSpaceDE w:val="0"/>
        <w:rPr>
          <w:rFonts w:ascii="Arial Narrow" w:hAnsi="Arial Narrow" w:cs="Arial"/>
          <w:sz w:val="24"/>
          <w:szCs w:val="24"/>
        </w:rPr>
      </w:pPr>
    </w:p>
    <w:p w:rsidR="006D2417" w:rsidRPr="00D02546" w:rsidRDefault="006D2417" w:rsidP="00D02546">
      <w:pPr>
        <w:autoSpaceDE w:val="0"/>
        <w:rPr>
          <w:rFonts w:ascii="Arial Narrow" w:hAnsi="Arial Narrow" w:cs="Arial"/>
          <w:b/>
          <w:sz w:val="24"/>
          <w:szCs w:val="24"/>
        </w:rPr>
      </w:pPr>
      <w:r w:rsidRPr="00D02546">
        <w:rPr>
          <w:rFonts w:ascii="Arial Narrow" w:hAnsi="Arial Narrow" w:cs="Arial"/>
          <w:b/>
          <w:sz w:val="24"/>
          <w:szCs w:val="24"/>
        </w:rPr>
        <w:t>Viabilidad Jurídica</w:t>
      </w:r>
    </w:p>
    <w:p w:rsidR="006D2417" w:rsidRPr="00EB21D9" w:rsidRDefault="006D2417" w:rsidP="006D2417">
      <w:pPr>
        <w:autoSpaceDE w:val="0"/>
        <w:rPr>
          <w:rFonts w:ascii="Arial Narrow" w:hAnsi="Arial Narrow" w:cs="Arial"/>
          <w:b/>
          <w:sz w:val="24"/>
          <w:szCs w:val="24"/>
        </w:rPr>
      </w:pPr>
    </w:p>
    <w:p w:rsidR="006D2417" w:rsidRPr="00EB21D9" w:rsidRDefault="006D2417" w:rsidP="006D2417">
      <w:pPr>
        <w:pStyle w:val="Prrafodelista"/>
        <w:numPr>
          <w:ilvl w:val="1"/>
          <w:numId w:val="2"/>
        </w:numPr>
        <w:autoSpaceDE w:val="0"/>
        <w:ind w:left="720"/>
        <w:rPr>
          <w:rFonts w:ascii="Arial Narrow" w:hAnsi="Arial Narrow" w:cs="Arial"/>
          <w:b/>
          <w:sz w:val="24"/>
          <w:szCs w:val="24"/>
        </w:rPr>
      </w:pPr>
      <w:r w:rsidRPr="00EB21D9">
        <w:rPr>
          <w:rFonts w:ascii="Arial Narrow" w:hAnsi="Arial Narrow" w:cs="Arial"/>
          <w:b/>
          <w:sz w:val="24"/>
          <w:szCs w:val="24"/>
        </w:rPr>
        <w:t>Análisis expreso y detallado de las normas que otorgan la competencia para la expedición del correspondiente acto</w:t>
      </w:r>
      <w:r w:rsidR="00B27995" w:rsidRPr="00EB21D9">
        <w:rPr>
          <w:rFonts w:ascii="Arial Narrow" w:hAnsi="Arial Narrow" w:cs="Arial"/>
          <w:b/>
          <w:sz w:val="24"/>
          <w:szCs w:val="24"/>
        </w:rPr>
        <w:t>.</w:t>
      </w:r>
    </w:p>
    <w:p w:rsidR="00C80178" w:rsidRPr="00EB21D9" w:rsidRDefault="00C80178" w:rsidP="00C80178">
      <w:pPr>
        <w:pStyle w:val="Prrafodelista"/>
        <w:autoSpaceDE w:val="0"/>
        <w:rPr>
          <w:rFonts w:ascii="Arial Narrow" w:hAnsi="Arial Narrow" w:cs="Arial"/>
          <w:b/>
          <w:sz w:val="24"/>
          <w:szCs w:val="24"/>
        </w:rPr>
      </w:pPr>
    </w:p>
    <w:p w:rsidR="00615748" w:rsidRPr="00EB21D9" w:rsidRDefault="00615748" w:rsidP="00C80178">
      <w:pPr>
        <w:pStyle w:val="Textoindependiente"/>
        <w:ind w:left="720"/>
        <w:rPr>
          <w:rFonts w:ascii="Arial Narrow" w:hAnsi="Arial Narrow" w:cs="Arial"/>
          <w:sz w:val="24"/>
          <w:szCs w:val="24"/>
          <w:lang w:val="es-CO"/>
        </w:rPr>
      </w:pPr>
      <w:r w:rsidRPr="00EB21D9">
        <w:rPr>
          <w:rFonts w:ascii="Arial Narrow" w:hAnsi="Arial Narrow" w:cs="Arial"/>
          <w:sz w:val="24"/>
          <w:szCs w:val="24"/>
          <w:lang w:val="es-CO"/>
        </w:rPr>
        <w:t xml:space="preserve">La Constitución Política de Colombia de 1991 estableció: </w:t>
      </w:r>
    </w:p>
    <w:p w:rsidR="00615748" w:rsidRPr="00EB21D9" w:rsidRDefault="00615748" w:rsidP="00C80178">
      <w:pPr>
        <w:pStyle w:val="Textoindependiente"/>
        <w:ind w:left="720"/>
        <w:rPr>
          <w:rFonts w:ascii="Arial Narrow" w:hAnsi="Arial Narrow" w:cs="Arial"/>
          <w:sz w:val="24"/>
          <w:szCs w:val="24"/>
          <w:lang w:val="es-CO"/>
        </w:rPr>
      </w:pPr>
    </w:p>
    <w:p w:rsidR="00615748" w:rsidRPr="00EB21D9" w:rsidRDefault="00615748" w:rsidP="00C80178">
      <w:pPr>
        <w:pStyle w:val="Textoindependiente"/>
        <w:numPr>
          <w:ilvl w:val="0"/>
          <w:numId w:val="25"/>
        </w:numPr>
        <w:rPr>
          <w:rFonts w:ascii="Arial Narrow" w:hAnsi="Arial Narrow" w:cs="Arial"/>
          <w:sz w:val="24"/>
          <w:szCs w:val="24"/>
          <w:lang w:val="es-CO"/>
        </w:rPr>
      </w:pPr>
      <w:r w:rsidRPr="00EB21D9">
        <w:rPr>
          <w:rFonts w:ascii="Arial Narrow" w:hAnsi="Arial Narrow" w:cs="Arial"/>
          <w:sz w:val="24"/>
          <w:szCs w:val="24"/>
          <w:lang w:val="es-CO"/>
        </w:rPr>
        <w:t>Artículo 79 como principio fundamental la obligación del Estado de proteger las riquezas naturales de la nación.</w:t>
      </w:r>
      <w:r w:rsidR="00C80178" w:rsidRPr="00EB21D9">
        <w:rPr>
          <w:rFonts w:ascii="Arial Narrow" w:hAnsi="Arial Narrow" w:cs="Arial"/>
          <w:sz w:val="24"/>
          <w:szCs w:val="24"/>
          <w:lang w:val="es-CO"/>
        </w:rPr>
        <w:t xml:space="preserve"> “</w:t>
      </w:r>
      <w:r w:rsidR="00C80178" w:rsidRPr="00EB21D9">
        <w:rPr>
          <w:rFonts w:ascii="Arial Narrow" w:hAnsi="Arial Narrow" w:cs="Arial"/>
          <w:i/>
          <w:sz w:val="24"/>
          <w:szCs w:val="24"/>
          <w:lang w:val="es-CO"/>
        </w:rPr>
        <w:t>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r w:rsidR="00C80178" w:rsidRPr="00EB21D9">
        <w:rPr>
          <w:rFonts w:ascii="Arial Narrow" w:hAnsi="Arial Narrow" w:cs="Arial"/>
          <w:sz w:val="24"/>
          <w:szCs w:val="24"/>
          <w:lang w:val="es-CO"/>
        </w:rPr>
        <w:t xml:space="preserve">”. </w:t>
      </w:r>
    </w:p>
    <w:p w:rsidR="00615748" w:rsidRPr="00EB21D9" w:rsidRDefault="00615748" w:rsidP="00C80178">
      <w:pPr>
        <w:pStyle w:val="Textoindependiente"/>
        <w:numPr>
          <w:ilvl w:val="0"/>
          <w:numId w:val="25"/>
        </w:numPr>
        <w:rPr>
          <w:rFonts w:ascii="Arial Narrow" w:hAnsi="Arial Narrow" w:cs="Arial"/>
          <w:sz w:val="24"/>
          <w:szCs w:val="24"/>
          <w:lang w:val="es-CO"/>
        </w:rPr>
      </w:pPr>
      <w:r w:rsidRPr="00EB21D9">
        <w:rPr>
          <w:rFonts w:ascii="Arial Narrow" w:hAnsi="Arial Narrow" w:cs="Arial"/>
          <w:sz w:val="24"/>
          <w:szCs w:val="24"/>
          <w:lang w:val="es-CO"/>
        </w:rPr>
        <w:t>Artículo 95</w:t>
      </w:r>
      <w:r w:rsidR="00C80178" w:rsidRPr="00EB21D9">
        <w:rPr>
          <w:rFonts w:ascii="Arial Narrow" w:hAnsi="Arial Narrow" w:cs="Arial"/>
          <w:sz w:val="24"/>
          <w:szCs w:val="24"/>
          <w:lang w:val="es-CO"/>
        </w:rPr>
        <w:t xml:space="preserve"> numeral 8</w:t>
      </w:r>
      <w:r w:rsidRPr="00EB21D9">
        <w:rPr>
          <w:rFonts w:ascii="Arial Narrow" w:hAnsi="Arial Narrow" w:cs="Arial"/>
          <w:sz w:val="24"/>
          <w:szCs w:val="24"/>
          <w:lang w:val="es-CO"/>
        </w:rPr>
        <w:t xml:space="preserve">. </w:t>
      </w:r>
      <w:r w:rsidR="00C80178" w:rsidRPr="00EB21D9">
        <w:rPr>
          <w:rFonts w:ascii="Arial Narrow" w:hAnsi="Arial Narrow" w:cs="Arial"/>
          <w:sz w:val="24"/>
          <w:szCs w:val="24"/>
          <w:lang w:val="es-CO"/>
        </w:rPr>
        <w:t>“</w:t>
      </w:r>
      <w:r w:rsidRPr="00EB21D9">
        <w:rPr>
          <w:rFonts w:ascii="Arial Narrow" w:hAnsi="Arial Narrow" w:cs="Arial"/>
          <w:i/>
          <w:sz w:val="24"/>
          <w:szCs w:val="24"/>
          <w:lang w:val="es-CO"/>
        </w:rPr>
        <w:t>En ejercicio de los derechos y libertades reconocidos son deberes de las personas y los ciudadanos proteger los recursos culturales y naturales del país y velar por la conservación de un ambiente sano</w:t>
      </w:r>
      <w:r w:rsidRPr="00EB21D9">
        <w:rPr>
          <w:rFonts w:ascii="Arial Narrow" w:hAnsi="Arial Narrow" w:cs="Arial"/>
          <w:sz w:val="24"/>
          <w:szCs w:val="24"/>
          <w:lang w:val="es-CO"/>
        </w:rPr>
        <w:t xml:space="preserve"> (…).”</w:t>
      </w:r>
    </w:p>
    <w:p w:rsidR="00C80178" w:rsidRPr="00EB21D9" w:rsidRDefault="00C80178" w:rsidP="00737F00">
      <w:pPr>
        <w:pStyle w:val="Textoindependiente"/>
        <w:ind w:left="1440"/>
        <w:rPr>
          <w:rFonts w:ascii="Arial Narrow" w:hAnsi="Arial Narrow" w:cs="Arial"/>
          <w:sz w:val="24"/>
          <w:szCs w:val="24"/>
          <w:lang w:val="es-CO"/>
        </w:rPr>
      </w:pPr>
    </w:p>
    <w:p w:rsidR="00615748" w:rsidRPr="00EB21D9" w:rsidRDefault="000F252A" w:rsidP="00615748">
      <w:pPr>
        <w:pStyle w:val="Textoindependiente"/>
        <w:rPr>
          <w:rFonts w:ascii="Arial Narrow" w:hAnsi="Arial Narrow"/>
          <w:sz w:val="24"/>
          <w:szCs w:val="24"/>
          <w:lang w:val="es-CO"/>
        </w:rPr>
      </w:pPr>
      <w:r w:rsidRPr="00EB21D9">
        <w:rPr>
          <w:rFonts w:ascii="Arial Narrow" w:hAnsi="Arial Narrow" w:cs="Arial"/>
          <w:sz w:val="24"/>
          <w:szCs w:val="24"/>
          <w:lang w:val="es-CO"/>
        </w:rPr>
        <w:lastRenderedPageBreak/>
        <w:t>El artículo 5 en sus numerales</w:t>
      </w:r>
      <w:r w:rsidR="00615748" w:rsidRPr="00EB21D9">
        <w:rPr>
          <w:rFonts w:ascii="Arial Narrow" w:hAnsi="Arial Narrow" w:cs="Arial"/>
          <w:sz w:val="24"/>
          <w:szCs w:val="24"/>
          <w:lang w:val="es-CO" w:eastAsia="es-CO"/>
        </w:rPr>
        <w:t xml:space="preserve"> </w:t>
      </w:r>
      <w:r w:rsidR="00C9795F" w:rsidRPr="00EB21D9">
        <w:rPr>
          <w:rFonts w:ascii="Arial Narrow" w:hAnsi="Arial Narrow" w:cs="Arial"/>
          <w:sz w:val="24"/>
          <w:szCs w:val="24"/>
          <w:lang w:val="es-CO" w:eastAsia="es-CO"/>
        </w:rPr>
        <w:t>8,11</w:t>
      </w:r>
      <w:r w:rsidRPr="00EB21D9">
        <w:rPr>
          <w:rFonts w:ascii="Arial Narrow" w:hAnsi="Arial Narrow" w:cs="Arial"/>
          <w:sz w:val="24"/>
          <w:szCs w:val="24"/>
          <w:lang w:val="es-CO" w:eastAsia="es-CO"/>
        </w:rPr>
        <w:t xml:space="preserve"> y 14</w:t>
      </w:r>
      <w:r w:rsidR="00C9795F" w:rsidRPr="00EB21D9">
        <w:rPr>
          <w:rFonts w:ascii="Arial Narrow" w:hAnsi="Arial Narrow" w:cs="Arial"/>
          <w:sz w:val="24"/>
          <w:szCs w:val="24"/>
          <w:lang w:val="es-CO" w:eastAsia="es-CO"/>
        </w:rPr>
        <w:t xml:space="preserve"> </w:t>
      </w:r>
      <w:r w:rsidRPr="00EB21D9">
        <w:rPr>
          <w:rFonts w:ascii="Arial Narrow" w:hAnsi="Arial Narrow" w:cs="Arial"/>
          <w:sz w:val="24"/>
          <w:szCs w:val="24"/>
          <w:lang w:val="es-CO"/>
        </w:rPr>
        <w:t xml:space="preserve">de la Ley 99 de 1993 establece como funciones del Ministerio de Ambiente y Desarrollo Sostenible: </w:t>
      </w:r>
    </w:p>
    <w:p w:rsidR="00343B92" w:rsidRPr="00EB21D9" w:rsidRDefault="00343B92" w:rsidP="000F252A">
      <w:pPr>
        <w:autoSpaceDE w:val="0"/>
        <w:autoSpaceDN w:val="0"/>
        <w:adjustRightInd w:val="0"/>
        <w:rPr>
          <w:rFonts w:ascii="Arial Narrow" w:hAnsi="Arial Narrow" w:cs="Arial"/>
          <w:color w:val="000000"/>
          <w:sz w:val="24"/>
          <w:szCs w:val="24"/>
          <w:shd w:val="clear" w:color="auto" w:fill="FFFFFF"/>
        </w:rPr>
      </w:pPr>
    </w:p>
    <w:p w:rsidR="00343B92" w:rsidRPr="00EB21D9" w:rsidRDefault="000F252A" w:rsidP="00343B92">
      <w:pPr>
        <w:autoSpaceDE w:val="0"/>
        <w:autoSpaceDN w:val="0"/>
        <w:adjustRightInd w:val="0"/>
        <w:rPr>
          <w:rFonts w:ascii="Arial Narrow" w:hAnsi="Arial Narrow" w:cs="Arial"/>
          <w:sz w:val="24"/>
          <w:szCs w:val="24"/>
        </w:rPr>
      </w:pPr>
      <w:r w:rsidRPr="00EB21D9">
        <w:rPr>
          <w:rFonts w:ascii="Arial Narrow" w:hAnsi="Arial Narrow" w:cs="Arial"/>
          <w:sz w:val="24"/>
          <w:szCs w:val="24"/>
        </w:rPr>
        <w:t xml:space="preserve">8. </w:t>
      </w:r>
      <w:r w:rsidR="00343B92" w:rsidRPr="00EB21D9">
        <w:rPr>
          <w:rFonts w:ascii="Arial Narrow" w:hAnsi="Arial Narrow" w:cs="Arial"/>
          <w:sz w:val="24"/>
          <w:szCs w:val="24"/>
        </w:rPr>
        <w:t>Evaluar los alcances y efectos económicos de los factores ambientales, su incorporación al valor de mercado de bienes y servicios y su impacto sobre el desarrollo de la economí</w:t>
      </w:r>
      <w:r w:rsidRPr="00EB21D9">
        <w:rPr>
          <w:rFonts w:ascii="Arial Narrow" w:hAnsi="Arial Narrow" w:cs="Arial"/>
          <w:sz w:val="24"/>
          <w:szCs w:val="24"/>
        </w:rPr>
        <w:t>a nacional y su sector externo.</w:t>
      </w:r>
    </w:p>
    <w:p w:rsidR="00343B92" w:rsidRDefault="00343B92" w:rsidP="00343B92">
      <w:pPr>
        <w:autoSpaceDE w:val="0"/>
        <w:autoSpaceDN w:val="0"/>
        <w:adjustRightInd w:val="0"/>
        <w:rPr>
          <w:rFonts w:ascii="Arial Narrow" w:hAnsi="Arial Narrow" w:cs="Arial"/>
          <w:sz w:val="24"/>
          <w:szCs w:val="24"/>
        </w:rPr>
      </w:pPr>
      <w:r w:rsidRPr="00EB21D9">
        <w:rPr>
          <w:rFonts w:ascii="Arial Narrow" w:hAnsi="Arial Narrow" w:cs="Arial"/>
          <w:sz w:val="24"/>
          <w:szCs w:val="24"/>
        </w:rPr>
        <w:t>11. Dictar regulaciones de carácter general tendientes a controlar y reducir las contaminaciones geosférica, hídrica, del paisaje, sonora y atmosférica, en todo el territorio nacional</w:t>
      </w:r>
      <w:r w:rsidR="000F252A" w:rsidRPr="00EB21D9">
        <w:rPr>
          <w:rFonts w:ascii="Arial Narrow" w:hAnsi="Arial Narrow" w:cs="Arial"/>
          <w:sz w:val="24"/>
          <w:szCs w:val="24"/>
        </w:rPr>
        <w:t>.</w:t>
      </w:r>
    </w:p>
    <w:p w:rsidR="00BB7E5C" w:rsidRPr="00EB21D9" w:rsidRDefault="00BB7E5C" w:rsidP="00343B92">
      <w:pPr>
        <w:autoSpaceDE w:val="0"/>
        <w:autoSpaceDN w:val="0"/>
        <w:adjustRightInd w:val="0"/>
        <w:rPr>
          <w:rFonts w:ascii="Arial Narrow" w:hAnsi="Arial Narrow" w:cs="Arial"/>
          <w:sz w:val="24"/>
          <w:szCs w:val="24"/>
        </w:rPr>
      </w:pPr>
    </w:p>
    <w:p w:rsidR="00343B92" w:rsidRPr="00EB21D9" w:rsidRDefault="00343B92" w:rsidP="00343B92">
      <w:pPr>
        <w:autoSpaceDE w:val="0"/>
        <w:autoSpaceDN w:val="0"/>
        <w:adjustRightInd w:val="0"/>
        <w:rPr>
          <w:rFonts w:ascii="Arial Narrow" w:hAnsi="Arial Narrow" w:cs="Arial"/>
          <w:sz w:val="24"/>
          <w:szCs w:val="24"/>
        </w:rPr>
      </w:pPr>
      <w:r w:rsidRPr="00EB21D9">
        <w:rPr>
          <w:rFonts w:ascii="Arial Narrow" w:hAnsi="Arial Narrow" w:cs="Arial"/>
          <w:sz w:val="24"/>
          <w:szCs w:val="24"/>
        </w:rPr>
        <w:t xml:space="preserve">14. Definir y regular los instrumentos administrativos y mecanismos necesarios para la prevención y el control de los </w:t>
      </w:r>
      <w:r w:rsidR="000F252A" w:rsidRPr="00EB21D9">
        <w:rPr>
          <w:rFonts w:ascii="Arial Narrow" w:hAnsi="Arial Narrow" w:cs="Arial"/>
          <w:sz w:val="24"/>
          <w:szCs w:val="24"/>
        </w:rPr>
        <w:t xml:space="preserve">factores de deterioro ambiental </w:t>
      </w:r>
      <w:r w:rsidRPr="00EB21D9">
        <w:rPr>
          <w:rFonts w:ascii="Arial Narrow" w:hAnsi="Arial Narrow" w:cs="Arial"/>
          <w:sz w:val="24"/>
          <w:szCs w:val="24"/>
        </w:rPr>
        <w:t>y determinar los criterios de evaluación, seguimiento y manejo ambientales de las actividades económicas</w:t>
      </w:r>
      <w:r w:rsidR="000F252A" w:rsidRPr="00EB21D9">
        <w:rPr>
          <w:rFonts w:ascii="Arial Narrow" w:hAnsi="Arial Narrow" w:cs="Arial"/>
          <w:sz w:val="24"/>
          <w:szCs w:val="24"/>
        </w:rPr>
        <w:t>.</w:t>
      </w:r>
    </w:p>
    <w:p w:rsidR="00615748" w:rsidRPr="00EB21D9" w:rsidRDefault="00615748" w:rsidP="00615748">
      <w:pPr>
        <w:autoSpaceDE w:val="0"/>
        <w:autoSpaceDN w:val="0"/>
        <w:adjustRightInd w:val="0"/>
        <w:rPr>
          <w:rFonts w:ascii="Arial Narrow" w:hAnsi="Arial Narrow" w:cs="Arial"/>
          <w:sz w:val="24"/>
          <w:szCs w:val="24"/>
        </w:rPr>
      </w:pPr>
    </w:p>
    <w:p w:rsidR="00E15F82" w:rsidRDefault="00BB7E5C" w:rsidP="00E15F82">
      <w:pPr>
        <w:pStyle w:val="Default"/>
        <w:jc w:val="both"/>
        <w:rPr>
          <w:rFonts w:ascii="Arial Narrow" w:hAnsi="Arial Narrow" w:cs="Arial"/>
          <w:lang w:val="es-CO" w:eastAsia="es-CO"/>
        </w:rPr>
      </w:pPr>
      <w:r>
        <w:rPr>
          <w:rFonts w:ascii="Arial Narrow" w:hAnsi="Arial Narrow"/>
          <w:lang w:val="es-ES_tradnl"/>
        </w:rPr>
        <w:t xml:space="preserve">Dar </w:t>
      </w:r>
      <w:r w:rsidR="00AD10F3">
        <w:rPr>
          <w:rFonts w:ascii="Arial Narrow" w:hAnsi="Arial Narrow"/>
          <w:lang w:val="es-ES_tradnl"/>
        </w:rPr>
        <w:t>extricto</w:t>
      </w:r>
      <w:r w:rsidR="007F5446">
        <w:rPr>
          <w:rFonts w:ascii="Arial Narrow" w:hAnsi="Arial Narrow"/>
          <w:lang w:val="es-ES_tradnl"/>
        </w:rPr>
        <w:t xml:space="preserve"> </w:t>
      </w:r>
      <w:r>
        <w:rPr>
          <w:rFonts w:ascii="Arial Narrow" w:hAnsi="Arial Narrow"/>
          <w:lang w:val="es-ES_tradnl"/>
        </w:rPr>
        <w:t xml:space="preserve">cumplimiento al </w:t>
      </w:r>
      <w:r w:rsidR="007F5446" w:rsidRPr="00BB7E5C">
        <w:rPr>
          <w:rFonts w:ascii="Arial Narrow" w:hAnsi="Arial Narrow" w:cs="Arial"/>
          <w:lang w:val="es-CO" w:eastAsia="es-CO"/>
        </w:rPr>
        <w:t>fallo de fecha 30 de agosto de 2018 proferido por Consejo de Estado Sala De Lo Contencioso Administrativo Sección Quinta, Consejera ponente: Lucy Jeannette Bermúdez Bermúdez, Radicación número: 25000-23-41-000-2018-00497-01, Actor: Procuraduría 22 Judicial II Ambiental y Agrario, Demandado: Nación, Ministerio de Ambiente y Desarrollo Sostenibles, Asunto: Acción de cumplimiento. Fallo de segunda instancia</w:t>
      </w:r>
    </w:p>
    <w:p w:rsidR="007F5446" w:rsidRPr="00EB21D9" w:rsidRDefault="007F5446" w:rsidP="00E15F82">
      <w:pPr>
        <w:pStyle w:val="Default"/>
        <w:jc w:val="both"/>
        <w:rPr>
          <w:rFonts w:ascii="Arial Narrow" w:hAnsi="Arial Narrow"/>
          <w:lang w:val="es-ES_tradnl"/>
        </w:rPr>
      </w:pPr>
    </w:p>
    <w:p w:rsidR="006D2417" w:rsidRPr="00EB21D9" w:rsidRDefault="006D2417" w:rsidP="006D2417">
      <w:pPr>
        <w:pStyle w:val="Prrafodelista"/>
        <w:numPr>
          <w:ilvl w:val="1"/>
          <w:numId w:val="2"/>
        </w:numPr>
        <w:autoSpaceDE w:val="0"/>
        <w:ind w:left="720"/>
        <w:rPr>
          <w:rFonts w:ascii="Arial Narrow" w:hAnsi="Arial Narrow" w:cs="Arial"/>
          <w:b/>
          <w:sz w:val="24"/>
          <w:szCs w:val="24"/>
        </w:rPr>
      </w:pPr>
      <w:r w:rsidRPr="00EB21D9">
        <w:rPr>
          <w:rFonts w:ascii="Arial Narrow" w:hAnsi="Arial Narrow" w:cs="Arial"/>
          <w:b/>
          <w:sz w:val="24"/>
          <w:szCs w:val="24"/>
        </w:rPr>
        <w:t>La vigencia de la Ley o norma reglamentada o desarrollada.</w:t>
      </w:r>
    </w:p>
    <w:p w:rsidR="006D2417" w:rsidRPr="00EB21D9" w:rsidRDefault="006D2417" w:rsidP="006D2417">
      <w:pPr>
        <w:pStyle w:val="Prrafodelista"/>
        <w:autoSpaceDE w:val="0"/>
        <w:rPr>
          <w:rFonts w:ascii="Arial Narrow" w:hAnsi="Arial Narrow" w:cs="Arial"/>
          <w:b/>
          <w:sz w:val="24"/>
          <w:szCs w:val="24"/>
        </w:rPr>
      </w:pPr>
    </w:p>
    <w:p w:rsidR="006D2417" w:rsidRPr="00DD1760" w:rsidRDefault="006D2417" w:rsidP="008A5477">
      <w:pPr>
        <w:spacing w:after="100" w:afterAutospacing="1"/>
        <w:ind w:left="708"/>
        <w:mirrorIndents/>
        <w:jc w:val="left"/>
        <w:rPr>
          <w:rFonts w:ascii="Arial Narrow" w:hAnsi="Arial Narrow" w:cs="Arial"/>
          <w:sz w:val="24"/>
          <w:szCs w:val="24"/>
        </w:rPr>
      </w:pPr>
      <w:r w:rsidRPr="00DD1760">
        <w:rPr>
          <w:rFonts w:ascii="Arial Narrow" w:hAnsi="Arial Narrow" w:cs="Arial"/>
          <w:sz w:val="24"/>
          <w:szCs w:val="24"/>
        </w:rPr>
        <w:t xml:space="preserve">La vigencia de la </w:t>
      </w:r>
      <w:r w:rsidR="00B17CD0" w:rsidRPr="00DD1760">
        <w:rPr>
          <w:rFonts w:ascii="Arial Narrow" w:hAnsi="Arial Narrow" w:cs="Arial"/>
          <w:sz w:val="24"/>
          <w:szCs w:val="24"/>
        </w:rPr>
        <w:t xml:space="preserve">resolución </w:t>
      </w:r>
      <w:r w:rsidRPr="00DD1760">
        <w:rPr>
          <w:rFonts w:ascii="Arial Narrow" w:hAnsi="Arial Narrow" w:cs="Arial"/>
          <w:sz w:val="24"/>
          <w:szCs w:val="24"/>
        </w:rPr>
        <w:t xml:space="preserve">es a partir de su </w:t>
      </w:r>
      <w:r w:rsidR="0091756D" w:rsidRPr="00DD1760">
        <w:rPr>
          <w:rFonts w:ascii="Arial Narrow" w:hAnsi="Arial Narrow" w:cs="Arial"/>
          <w:sz w:val="24"/>
          <w:szCs w:val="24"/>
        </w:rPr>
        <w:t>publicación en el Diario Oficial.</w:t>
      </w:r>
    </w:p>
    <w:p w:rsidR="006D2417" w:rsidRPr="00DD1760" w:rsidRDefault="006D2417" w:rsidP="006D2417">
      <w:pPr>
        <w:pStyle w:val="Prrafodelista"/>
        <w:numPr>
          <w:ilvl w:val="1"/>
          <w:numId w:val="2"/>
        </w:numPr>
        <w:autoSpaceDE w:val="0"/>
        <w:ind w:left="720"/>
        <w:rPr>
          <w:rStyle w:val="apple-converted-space"/>
          <w:rFonts w:ascii="Arial Narrow" w:hAnsi="Arial Narrow" w:cs="Arial"/>
          <w:b/>
          <w:color w:val="000000"/>
          <w:sz w:val="24"/>
          <w:szCs w:val="24"/>
          <w:shd w:val="clear" w:color="auto" w:fill="FFFFFF"/>
        </w:rPr>
      </w:pPr>
      <w:r w:rsidRPr="00DD1760">
        <w:rPr>
          <w:rFonts w:ascii="Arial Narrow" w:hAnsi="Arial Narrow" w:cs="Arial"/>
          <w:b/>
          <w:sz w:val="24"/>
          <w:szCs w:val="24"/>
        </w:rPr>
        <w:t>Las disposiciones derogadas, subrogadas, modificadas, adicionadas o sustituidas, si alguno de estos efectos se produce con la expedición del respectivo acto</w:t>
      </w:r>
      <w:r w:rsidRPr="00DD1760">
        <w:rPr>
          <w:rStyle w:val="apple-converted-space"/>
          <w:rFonts w:ascii="Arial Narrow" w:hAnsi="Arial Narrow" w:cs="Arial"/>
          <w:b/>
          <w:color w:val="000000"/>
          <w:sz w:val="24"/>
          <w:szCs w:val="24"/>
          <w:shd w:val="clear" w:color="auto" w:fill="FFFFFF"/>
        </w:rPr>
        <w:t>. </w:t>
      </w:r>
    </w:p>
    <w:p w:rsidR="007F5446" w:rsidRPr="00DD1760" w:rsidRDefault="007F5446" w:rsidP="007F5446">
      <w:pPr>
        <w:autoSpaceDE w:val="0"/>
        <w:rPr>
          <w:rFonts w:ascii="Arial Narrow" w:hAnsi="Arial Narrow" w:cs="Arial"/>
          <w:b/>
          <w:sz w:val="24"/>
          <w:szCs w:val="24"/>
        </w:rPr>
      </w:pPr>
    </w:p>
    <w:p w:rsidR="006D2417" w:rsidRPr="00DD1760" w:rsidRDefault="007F5446" w:rsidP="0035361B">
      <w:pPr>
        <w:autoSpaceDE w:val="0"/>
        <w:rPr>
          <w:rFonts w:ascii="Arial Narrow" w:hAnsi="Arial Narrow" w:cs="Arial"/>
          <w:sz w:val="24"/>
          <w:szCs w:val="24"/>
        </w:rPr>
      </w:pPr>
      <w:r w:rsidRPr="00DD1760">
        <w:rPr>
          <w:rFonts w:ascii="Arial Narrow" w:hAnsi="Arial Narrow" w:cs="Arial"/>
          <w:sz w:val="24"/>
          <w:szCs w:val="24"/>
        </w:rPr>
        <w:t xml:space="preserve">No aplica </w:t>
      </w:r>
    </w:p>
    <w:p w:rsidR="00C877C8" w:rsidRPr="00DD1760" w:rsidRDefault="00C877C8" w:rsidP="00515C61">
      <w:pPr>
        <w:autoSpaceDE w:val="0"/>
        <w:rPr>
          <w:rStyle w:val="apple-converted-space"/>
          <w:rFonts w:ascii="Arial Narrow" w:hAnsi="Arial Narrow" w:cs="Arial"/>
          <w:color w:val="000000"/>
          <w:sz w:val="24"/>
          <w:szCs w:val="24"/>
          <w:shd w:val="clear" w:color="auto" w:fill="FFFFFF"/>
        </w:rPr>
      </w:pPr>
    </w:p>
    <w:p w:rsidR="006D2417" w:rsidRPr="00DD1760" w:rsidRDefault="006D2417" w:rsidP="006D2417">
      <w:pPr>
        <w:pStyle w:val="NormalWeb"/>
        <w:numPr>
          <w:ilvl w:val="0"/>
          <w:numId w:val="2"/>
        </w:numPr>
        <w:shd w:val="clear" w:color="auto" w:fill="FFFFFF"/>
        <w:spacing w:before="0" w:beforeAutospacing="0" w:after="0" w:afterAutospacing="0"/>
        <w:ind w:left="284" w:hanging="284"/>
        <w:rPr>
          <w:rFonts w:ascii="Arial Narrow" w:hAnsi="Arial Narrow" w:cs="Arial"/>
          <w:b/>
          <w:color w:val="000000"/>
        </w:rPr>
      </w:pPr>
      <w:r w:rsidRPr="00DD1760">
        <w:rPr>
          <w:rFonts w:ascii="Arial Narrow" w:hAnsi="Arial Narrow" w:cs="Arial"/>
          <w:b/>
          <w:color w:val="000000"/>
        </w:rPr>
        <w:t>Impacto económico, si fuere el caso, el cual deberá señalar el costo o ahorro, de la implementación del respectivo acto.</w:t>
      </w:r>
    </w:p>
    <w:p w:rsidR="0026608A" w:rsidRPr="00DD1760" w:rsidRDefault="0026608A" w:rsidP="009F108A">
      <w:pPr>
        <w:rPr>
          <w:rFonts w:ascii="Arial Narrow" w:eastAsiaTheme="minorEastAsia" w:hAnsi="Arial Narrow" w:cs="Arial"/>
          <w:b/>
          <w:color w:val="000000"/>
          <w:sz w:val="24"/>
          <w:szCs w:val="24"/>
          <w:lang w:eastAsia="es-CO"/>
        </w:rPr>
      </w:pPr>
    </w:p>
    <w:p w:rsidR="0026608A" w:rsidRPr="00DD1760" w:rsidRDefault="000E6666" w:rsidP="0035361B">
      <w:pPr>
        <w:rPr>
          <w:rFonts w:ascii="Arial Narrow" w:hAnsi="Arial Narrow"/>
          <w:sz w:val="24"/>
          <w:szCs w:val="24"/>
        </w:rPr>
      </w:pPr>
      <w:r w:rsidRPr="00DD1760">
        <w:rPr>
          <w:rFonts w:ascii="Arial Narrow" w:hAnsi="Arial Narrow"/>
          <w:sz w:val="24"/>
          <w:szCs w:val="24"/>
        </w:rPr>
        <w:t>La resolución favorecerá a los mineros que no usen mercurio y realicen acciones amigables con el medio ambiente, adicionales a la legislación, facilitando el reconocimiento público y la oportunidad de acceder a mejores precios de los minerales preciosos, en el mercado internacional y nacional, con el respaldo de</w:t>
      </w:r>
      <w:r w:rsidR="0009335D" w:rsidRPr="00DD1760">
        <w:rPr>
          <w:rFonts w:ascii="Arial Narrow" w:hAnsi="Arial Narrow"/>
          <w:sz w:val="24"/>
          <w:szCs w:val="24"/>
        </w:rPr>
        <w:t xml:space="preserve"> la institucionalidad ambiental, lo cual busca favorecer las inversiones de los mineros por una menor contaminación y mejor desempeño ambiental</w:t>
      </w:r>
      <w:r w:rsidR="00DA41D9" w:rsidRPr="00DD1760">
        <w:rPr>
          <w:rFonts w:ascii="Arial Narrow" w:hAnsi="Arial Narrow"/>
          <w:sz w:val="24"/>
          <w:szCs w:val="24"/>
        </w:rPr>
        <w:t>.</w:t>
      </w:r>
    </w:p>
    <w:p w:rsidR="00DA41D9" w:rsidRPr="00DD1760" w:rsidRDefault="00DA41D9" w:rsidP="009F108A">
      <w:pPr>
        <w:rPr>
          <w:rFonts w:ascii="Arial Narrow" w:hAnsi="Arial Narrow"/>
          <w:sz w:val="24"/>
          <w:szCs w:val="24"/>
        </w:rPr>
      </w:pPr>
    </w:p>
    <w:p w:rsidR="00DA41D9" w:rsidRDefault="00DA41D9" w:rsidP="0035361B">
      <w:pPr>
        <w:rPr>
          <w:rFonts w:ascii="Arial Narrow" w:hAnsi="Arial Narrow"/>
          <w:sz w:val="24"/>
          <w:szCs w:val="24"/>
        </w:rPr>
      </w:pPr>
      <w:r w:rsidRPr="00DD1760">
        <w:rPr>
          <w:rFonts w:ascii="Arial Narrow" w:hAnsi="Arial Narrow"/>
          <w:sz w:val="24"/>
          <w:szCs w:val="24"/>
        </w:rPr>
        <w:lastRenderedPageBreak/>
        <w:t>La aplicación a la certificación de la norma será de iniciativa voluntaria por parte de los mineros que busquen el reconocimiento a través del sello, quienes podrán seleccionar de acuerdo a sus particularidades el certificador acredita</w:t>
      </w:r>
      <w:r w:rsidR="007E7313" w:rsidRPr="00DD1760">
        <w:rPr>
          <w:rFonts w:ascii="Arial Narrow" w:hAnsi="Arial Narrow"/>
          <w:sz w:val="24"/>
          <w:szCs w:val="24"/>
        </w:rPr>
        <w:t>do</w:t>
      </w:r>
      <w:r w:rsidRPr="00DD1760">
        <w:rPr>
          <w:rFonts w:ascii="Arial Narrow" w:hAnsi="Arial Narrow"/>
          <w:sz w:val="24"/>
          <w:szCs w:val="24"/>
        </w:rPr>
        <w:t>, que le prestaría este servicio.</w:t>
      </w:r>
    </w:p>
    <w:p w:rsidR="000E6666" w:rsidRPr="00EB21D9" w:rsidRDefault="000E6666" w:rsidP="009F108A">
      <w:pPr>
        <w:rPr>
          <w:rFonts w:ascii="Arial Narrow" w:hAnsi="Arial Narrow"/>
          <w:sz w:val="24"/>
          <w:szCs w:val="24"/>
        </w:rPr>
      </w:pPr>
    </w:p>
    <w:p w:rsidR="006D2417" w:rsidRPr="00EB21D9" w:rsidRDefault="006D2417" w:rsidP="006D2417">
      <w:pPr>
        <w:pStyle w:val="NormalWeb"/>
        <w:numPr>
          <w:ilvl w:val="0"/>
          <w:numId w:val="2"/>
        </w:numPr>
        <w:shd w:val="clear" w:color="auto" w:fill="FFFFFF"/>
        <w:spacing w:before="0" w:beforeAutospacing="0" w:after="0" w:afterAutospacing="0"/>
        <w:ind w:left="284" w:hanging="284"/>
        <w:rPr>
          <w:rFonts w:ascii="Arial Narrow" w:hAnsi="Arial Narrow" w:cs="Arial"/>
          <w:b/>
          <w:color w:val="000000"/>
        </w:rPr>
      </w:pPr>
      <w:r w:rsidRPr="00EB21D9">
        <w:rPr>
          <w:rFonts w:ascii="Arial Narrow" w:hAnsi="Arial Narrow" w:cs="Arial"/>
          <w:b/>
          <w:color w:val="000000"/>
        </w:rPr>
        <w:t>Disponibilidad presupuestal, si fuere del caso.</w:t>
      </w:r>
    </w:p>
    <w:p w:rsidR="006D2417" w:rsidRPr="00EB21D9" w:rsidRDefault="006D2417" w:rsidP="006D2417">
      <w:pPr>
        <w:pStyle w:val="NormalWeb"/>
        <w:shd w:val="clear" w:color="auto" w:fill="FFFFFF"/>
        <w:spacing w:before="0" w:beforeAutospacing="0" w:after="0" w:afterAutospacing="0"/>
        <w:ind w:firstLine="284"/>
        <w:rPr>
          <w:rFonts w:ascii="Arial Narrow" w:hAnsi="Arial Narrow" w:cs="Arial"/>
          <w:color w:val="000000"/>
        </w:rPr>
      </w:pPr>
    </w:p>
    <w:p w:rsidR="006D2417" w:rsidRDefault="006D2417" w:rsidP="0035361B">
      <w:pPr>
        <w:pStyle w:val="NormalWeb"/>
        <w:shd w:val="clear" w:color="auto" w:fill="FFFFFF"/>
        <w:spacing w:before="0" w:beforeAutospacing="0" w:after="0" w:afterAutospacing="0"/>
        <w:outlineLvl w:val="0"/>
        <w:rPr>
          <w:rFonts w:ascii="Arial Narrow" w:hAnsi="Arial Narrow" w:cs="Arial"/>
          <w:color w:val="000000"/>
        </w:rPr>
      </w:pPr>
      <w:r w:rsidRPr="00EB21D9">
        <w:rPr>
          <w:rFonts w:ascii="Arial Narrow" w:hAnsi="Arial Narrow" w:cs="Arial"/>
          <w:color w:val="000000"/>
        </w:rPr>
        <w:t>No aplica.</w:t>
      </w:r>
    </w:p>
    <w:p w:rsidR="00DD1760" w:rsidRPr="00DD1760" w:rsidRDefault="00DD1760" w:rsidP="00DD1760">
      <w:pPr>
        <w:pStyle w:val="NormalWeb"/>
        <w:shd w:val="clear" w:color="auto" w:fill="FFFFFF"/>
        <w:spacing w:before="0" w:beforeAutospacing="0" w:after="0" w:afterAutospacing="0"/>
        <w:outlineLvl w:val="0"/>
        <w:rPr>
          <w:rFonts w:ascii="Arial Narrow" w:hAnsi="Arial Narrow" w:cs="Arial"/>
          <w:b/>
          <w:color w:val="000000"/>
        </w:rPr>
      </w:pPr>
    </w:p>
    <w:p w:rsidR="00DD1760" w:rsidRPr="00DD1760" w:rsidRDefault="00DD1760" w:rsidP="00DD1760">
      <w:pPr>
        <w:pStyle w:val="NormalWeb"/>
        <w:shd w:val="clear" w:color="auto" w:fill="FFFFFF"/>
        <w:spacing w:before="0" w:beforeAutospacing="0" w:after="0" w:afterAutospacing="0"/>
        <w:outlineLvl w:val="0"/>
        <w:rPr>
          <w:rFonts w:ascii="Arial Narrow" w:hAnsi="Arial Narrow" w:cs="Arial"/>
          <w:b/>
          <w:color w:val="000000"/>
        </w:rPr>
      </w:pPr>
      <w:r w:rsidRPr="00DD1760">
        <w:rPr>
          <w:rFonts w:ascii="Arial Narrow" w:hAnsi="Arial Narrow" w:cs="Arial"/>
          <w:b/>
          <w:color w:val="000000"/>
        </w:rPr>
        <w:t>4.</w:t>
      </w:r>
      <w:r w:rsidR="00EF2C08">
        <w:rPr>
          <w:rFonts w:ascii="Arial Narrow" w:hAnsi="Arial Narrow" w:cs="Arial"/>
          <w:b/>
          <w:color w:val="000000"/>
        </w:rPr>
        <w:t xml:space="preserve"> </w:t>
      </w:r>
      <w:r w:rsidRPr="00DD1760">
        <w:rPr>
          <w:rFonts w:ascii="Arial Narrow" w:hAnsi="Arial Narrow" w:cs="Arial"/>
          <w:b/>
          <w:color w:val="000000"/>
        </w:rPr>
        <w:t>De ser necesarios, impacto medioambiental o sobre el patrimonio cultural de la Nación</w:t>
      </w:r>
    </w:p>
    <w:p w:rsidR="006D2417" w:rsidRPr="00DD1760" w:rsidRDefault="006D2417" w:rsidP="00BF73B3">
      <w:pPr>
        <w:pStyle w:val="NormalWeb"/>
        <w:shd w:val="clear" w:color="auto" w:fill="FFFFFF"/>
        <w:spacing w:before="0" w:beforeAutospacing="0" w:after="0" w:afterAutospacing="0"/>
        <w:rPr>
          <w:rFonts w:ascii="Arial Narrow" w:hAnsi="Arial Narrow" w:cs="Arial"/>
          <w:b/>
          <w:color w:val="000000"/>
          <w:highlight w:val="yellow"/>
        </w:rPr>
      </w:pPr>
    </w:p>
    <w:p w:rsidR="00DB5593" w:rsidRPr="00DD1760" w:rsidRDefault="00DB5593" w:rsidP="0035361B">
      <w:pPr>
        <w:pStyle w:val="NormalWeb"/>
        <w:shd w:val="clear" w:color="auto" w:fill="FFFFFF"/>
        <w:spacing w:before="0" w:beforeAutospacing="0" w:after="0" w:afterAutospacing="0"/>
        <w:rPr>
          <w:rFonts w:ascii="Arial Narrow" w:hAnsi="Arial Narrow" w:cs="Arial"/>
          <w:color w:val="000000"/>
        </w:rPr>
      </w:pPr>
      <w:r w:rsidRPr="00DD1760">
        <w:rPr>
          <w:rFonts w:ascii="Arial Narrow" w:hAnsi="Arial Narrow" w:cs="Arial"/>
          <w:color w:val="000000"/>
        </w:rPr>
        <w:t xml:space="preserve">La resolución contribuirá </w:t>
      </w:r>
      <w:r w:rsidR="00E5780F" w:rsidRPr="00DD1760">
        <w:rPr>
          <w:rFonts w:ascii="Arial Narrow" w:hAnsi="Arial Narrow" w:cs="Arial"/>
          <w:color w:val="000000"/>
        </w:rPr>
        <w:t xml:space="preserve">positivamente sobre el medio ambiente, </w:t>
      </w:r>
      <w:r w:rsidRPr="00DD1760">
        <w:rPr>
          <w:rFonts w:ascii="Arial Narrow" w:hAnsi="Arial Narrow" w:cs="Arial"/>
          <w:color w:val="000000"/>
        </w:rPr>
        <w:t xml:space="preserve">con </w:t>
      </w:r>
      <w:r w:rsidR="00E5780F" w:rsidRPr="00DD1760">
        <w:rPr>
          <w:rFonts w:ascii="Arial Narrow" w:hAnsi="Arial Narrow" w:cs="Arial"/>
          <w:color w:val="000000"/>
        </w:rPr>
        <w:t xml:space="preserve">el reconocimiento de la adopción de </w:t>
      </w:r>
      <w:r w:rsidRPr="00DD1760">
        <w:rPr>
          <w:rFonts w:ascii="Arial Narrow" w:hAnsi="Arial Narrow" w:cs="Arial"/>
          <w:color w:val="000000"/>
        </w:rPr>
        <w:t>medidas de control y eliminación del uso de mercurio en la minería de oro, que tradicionalmente venia usando mercurio y que después de 5 años de transición a la erradicación del uso de mercurio en la minería.</w:t>
      </w:r>
    </w:p>
    <w:p w:rsidR="00DB5593" w:rsidRPr="00DD1760" w:rsidRDefault="00DB5593" w:rsidP="007F5446">
      <w:pPr>
        <w:pStyle w:val="NormalWeb"/>
        <w:shd w:val="clear" w:color="auto" w:fill="FFFFFF"/>
        <w:spacing w:before="0" w:beforeAutospacing="0" w:after="0" w:afterAutospacing="0"/>
        <w:ind w:left="284"/>
        <w:rPr>
          <w:rFonts w:ascii="Arial Narrow" w:hAnsi="Arial Narrow" w:cs="Arial"/>
          <w:color w:val="000000"/>
        </w:rPr>
      </w:pPr>
    </w:p>
    <w:p w:rsidR="007F5446" w:rsidRPr="00DD1760" w:rsidRDefault="00DB5593" w:rsidP="0035361B">
      <w:pPr>
        <w:pStyle w:val="NormalWeb"/>
        <w:shd w:val="clear" w:color="auto" w:fill="FFFFFF"/>
        <w:spacing w:before="0" w:beforeAutospacing="0" w:after="0" w:afterAutospacing="0"/>
        <w:rPr>
          <w:rFonts w:ascii="Arial Narrow" w:hAnsi="Arial Narrow" w:cs="Arial"/>
          <w:color w:val="000000"/>
        </w:rPr>
      </w:pPr>
      <w:r w:rsidRPr="00DD1760">
        <w:rPr>
          <w:rFonts w:ascii="Arial Narrow" w:hAnsi="Arial Narrow" w:cs="Arial"/>
          <w:color w:val="000000"/>
        </w:rPr>
        <w:t>Esta resolución conduce al reconocimiento de una actividad productiva sin uno de los contaminantes más agresivos para el ambiente como lo es el mercurio, además de contemplar el empleo de procedimientos amigables con el medio ambiente, como acciones adicionales a la legislación ambiental en la minería de oro, con el fin de lograr un valor agregado con menor contaminación y con reconocimiento público.</w:t>
      </w:r>
    </w:p>
    <w:p w:rsidR="00E5780F" w:rsidRPr="00DD1760" w:rsidRDefault="00E5780F" w:rsidP="007F5446">
      <w:pPr>
        <w:pStyle w:val="NormalWeb"/>
        <w:shd w:val="clear" w:color="auto" w:fill="FFFFFF"/>
        <w:spacing w:before="0" w:beforeAutospacing="0" w:after="0" w:afterAutospacing="0"/>
        <w:ind w:left="284"/>
        <w:rPr>
          <w:rFonts w:ascii="Arial Narrow" w:hAnsi="Arial Narrow" w:cs="Arial"/>
          <w:color w:val="000000"/>
        </w:rPr>
      </w:pPr>
    </w:p>
    <w:p w:rsidR="00DB5593" w:rsidRPr="00DB5593" w:rsidRDefault="00DB5593" w:rsidP="0035361B">
      <w:pPr>
        <w:pStyle w:val="NormalWeb"/>
        <w:shd w:val="clear" w:color="auto" w:fill="FFFFFF"/>
        <w:spacing w:before="0" w:beforeAutospacing="0" w:after="0" w:afterAutospacing="0"/>
        <w:rPr>
          <w:rFonts w:ascii="Arial Narrow" w:hAnsi="Arial Narrow" w:cs="Arial"/>
          <w:color w:val="000000"/>
        </w:rPr>
      </w:pPr>
      <w:r w:rsidRPr="00DD1760">
        <w:rPr>
          <w:rFonts w:ascii="Arial Narrow" w:hAnsi="Arial Narrow" w:cs="Arial"/>
          <w:color w:val="000000"/>
        </w:rPr>
        <w:t xml:space="preserve">En </w:t>
      </w:r>
      <w:r w:rsidR="00B749D0" w:rsidRPr="00DD1760">
        <w:rPr>
          <w:rFonts w:ascii="Arial Narrow" w:hAnsi="Arial Narrow" w:cs="Arial"/>
          <w:color w:val="000000"/>
        </w:rPr>
        <w:t>sí</w:t>
      </w:r>
      <w:r w:rsidRPr="00DD1760">
        <w:rPr>
          <w:rFonts w:ascii="Arial Narrow" w:hAnsi="Arial Narrow" w:cs="Arial"/>
          <w:color w:val="000000"/>
        </w:rPr>
        <w:t>ntesis</w:t>
      </w:r>
      <w:r w:rsidR="00B749D0" w:rsidRPr="00DD1760">
        <w:rPr>
          <w:rFonts w:ascii="Arial Narrow" w:hAnsi="Arial Narrow" w:cs="Arial"/>
          <w:color w:val="000000"/>
        </w:rPr>
        <w:t>,</w:t>
      </w:r>
      <w:r w:rsidRPr="00DD1760">
        <w:rPr>
          <w:rFonts w:ascii="Arial Narrow" w:hAnsi="Arial Narrow" w:cs="Arial"/>
          <w:color w:val="000000"/>
        </w:rPr>
        <w:t xml:space="preserve"> entre los beneficios ambientales por la resolución es reconocer mejores técnicas y buenas prácticas </w:t>
      </w:r>
      <w:r w:rsidR="00B450B8" w:rsidRPr="00DD1760">
        <w:rPr>
          <w:rFonts w:ascii="Arial Narrow" w:hAnsi="Arial Narrow" w:cs="Arial"/>
          <w:color w:val="000000"/>
        </w:rPr>
        <w:t>que conduzcan a proteger</w:t>
      </w:r>
      <w:r w:rsidR="00B749D0" w:rsidRPr="00DD1760">
        <w:rPr>
          <w:rFonts w:ascii="Arial Narrow" w:hAnsi="Arial Narrow" w:cs="Arial"/>
          <w:color w:val="000000"/>
        </w:rPr>
        <w:t xml:space="preserve"> ecosistemas y conservar</w:t>
      </w:r>
      <w:r w:rsidR="00B450B8" w:rsidRPr="00DD1760">
        <w:rPr>
          <w:rFonts w:ascii="Arial Narrow" w:hAnsi="Arial Narrow" w:cs="Arial"/>
          <w:color w:val="000000"/>
        </w:rPr>
        <w:t xml:space="preserve"> la biodiversidad</w:t>
      </w:r>
      <w:r w:rsidR="00B749D0" w:rsidRPr="00DD1760">
        <w:rPr>
          <w:rFonts w:ascii="Arial Narrow" w:hAnsi="Arial Narrow" w:cs="Arial"/>
          <w:color w:val="000000"/>
        </w:rPr>
        <w:t>.</w:t>
      </w:r>
      <w:r w:rsidR="00B450B8">
        <w:rPr>
          <w:rFonts w:ascii="Arial Narrow" w:hAnsi="Arial Narrow" w:cs="Arial"/>
          <w:color w:val="000000"/>
        </w:rPr>
        <w:t xml:space="preserve"> </w:t>
      </w:r>
    </w:p>
    <w:p w:rsidR="006D2417" w:rsidRPr="00EB21D9" w:rsidRDefault="006D2417" w:rsidP="006D2417">
      <w:pPr>
        <w:pStyle w:val="NormalWeb"/>
        <w:shd w:val="clear" w:color="auto" w:fill="FFFFFF"/>
        <w:spacing w:before="0" w:beforeAutospacing="0" w:after="0" w:afterAutospacing="0"/>
        <w:ind w:left="284"/>
        <w:rPr>
          <w:rFonts w:ascii="Arial Narrow" w:hAnsi="Arial Narrow" w:cs="Arial"/>
          <w:color w:val="000000"/>
        </w:rPr>
      </w:pPr>
    </w:p>
    <w:p w:rsidR="006D2417" w:rsidRPr="0035361B" w:rsidRDefault="006D2417" w:rsidP="006D2417">
      <w:pPr>
        <w:pStyle w:val="NormalWeb"/>
        <w:numPr>
          <w:ilvl w:val="0"/>
          <w:numId w:val="2"/>
        </w:numPr>
        <w:shd w:val="clear" w:color="auto" w:fill="FFFFFF"/>
        <w:spacing w:before="0" w:beforeAutospacing="0" w:after="0" w:afterAutospacing="0"/>
        <w:ind w:left="284" w:hanging="284"/>
        <w:rPr>
          <w:rFonts w:ascii="Arial Narrow" w:hAnsi="Arial Narrow" w:cs="Arial"/>
          <w:b/>
          <w:color w:val="000000"/>
        </w:rPr>
      </w:pPr>
      <w:r w:rsidRPr="0035361B">
        <w:rPr>
          <w:rFonts w:ascii="Arial Narrow" w:hAnsi="Arial Narrow" w:cs="Arial"/>
          <w:b/>
          <w:color w:val="000000"/>
        </w:rPr>
        <w:t>El cumplimiento de los requisitos de consulta y publicidad, cuando haya lugar a ello</w:t>
      </w:r>
      <w:r w:rsidRPr="0035361B">
        <w:rPr>
          <w:rFonts w:ascii="Arial Narrow" w:hAnsi="Arial Narrow" w:cs="Arial"/>
          <w:b/>
          <w:color w:val="000000"/>
          <w:shd w:val="clear" w:color="auto" w:fill="FFFFFF"/>
        </w:rPr>
        <w:t xml:space="preserve"> deberá anexarse la constancia que acredite que se ha cumplido dicho trámite.</w:t>
      </w:r>
    </w:p>
    <w:p w:rsidR="006D2417" w:rsidRPr="00EB21D9" w:rsidRDefault="006D2417" w:rsidP="006D2417">
      <w:pPr>
        <w:pStyle w:val="NormalWeb"/>
        <w:shd w:val="clear" w:color="auto" w:fill="FFFFFF"/>
        <w:spacing w:before="0" w:beforeAutospacing="0" w:after="0" w:afterAutospacing="0"/>
        <w:rPr>
          <w:rFonts w:ascii="Arial Narrow" w:hAnsi="Arial Narrow" w:cs="Arial"/>
          <w:color w:val="000000"/>
        </w:rPr>
      </w:pPr>
    </w:p>
    <w:p w:rsidR="006D2417" w:rsidRPr="00EB21D9" w:rsidRDefault="006D2417" w:rsidP="006D2417">
      <w:pPr>
        <w:pStyle w:val="NormalWeb"/>
        <w:numPr>
          <w:ilvl w:val="0"/>
          <w:numId w:val="2"/>
        </w:numPr>
        <w:shd w:val="clear" w:color="auto" w:fill="FFFFFF"/>
        <w:spacing w:before="0" w:beforeAutospacing="0" w:after="0" w:afterAutospacing="0"/>
        <w:ind w:left="284" w:hanging="284"/>
        <w:rPr>
          <w:rFonts w:ascii="Arial Narrow" w:hAnsi="Arial Narrow" w:cs="Arial"/>
          <w:b/>
          <w:color w:val="000000"/>
        </w:rPr>
      </w:pPr>
      <w:r w:rsidRPr="00EB21D9">
        <w:rPr>
          <w:rFonts w:ascii="Arial Narrow" w:hAnsi="Arial Narrow" w:cs="Arial"/>
          <w:b/>
          <w:color w:val="000000"/>
        </w:rPr>
        <w:t>Cualquier otro aspecto que se considere relevante o de importancia para la adopción de la decisión.</w:t>
      </w:r>
    </w:p>
    <w:p w:rsidR="006D2417" w:rsidRDefault="006D2417" w:rsidP="006D2417">
      <w:pPr>
        <w:pStyle w:val="NormalWeb"/>
        <w:shd w:val="clear" w:color="auto" w:fill="FFFFFF"/>
        <w:spacing w:before="0" w:beforeAutospacing="0" w:after="0" w:afterAutospacing="0"/>
        <w:rPr>
          <w:rFonts w:ascii="Arial Narrow" w:hAnsi="Arial Narrow" w:cs="Arial"/>
          <w:color w:val="FF0000"/>
        </w:rPr>
      </w:pPr>
    </w:p>
    <w:p w:rsidR="00B749D0" w:rsidRPr="0035361B" w:rsidRDefault="00B749D0" w:rsidP="0035361B">
      <w:pPr>
        <w:rPr>
          <w:rFonts w:ascii="Arial Narrow" w:hAnsi="Arial Narrow"/>
          <w:sz w:val="24"/>
          <w:szCs w:val="24"/>
        </w:rPr>
      </w:pPr>
      <w:r w:rsidRPr="0035361B">
        <w:rPr>
          <w:rFonts w:ascii="Arial Narrow" w:hAnsi="Arial Narrow"/>
          <w:sz w:val="24"/>
          <w:szCs w:val="24"/>
        </w:rPr>
        <w:t>Esta reglamentación está acorde con la Ley 1658 de 2013 y la reciente</w:t>
      </w:r>
      <w:r w:rsidR="00C0625D" w:rsidRPr="0035361B">
        <w:rPr>
          <w:rFonts w:ascii="Arial Narrow" w:hAnsi="Arial Narrow"/>
          <w:sz w:val="24"/>
          <w:szCs w:val="24"/>
        </w:rPr>
        <w:t xml:space="preserve"> ley 1892 del 11 de mayo de 2018</w:t>
      </w:r>
      <w:r w:rsidRPr="0035361B">
        <w:rPr>
          <w:rFonts w:ascii="Arial Narrow" w:hAnsi="Arial Narrow"/>
          <w:sz w:val="24"/>
          <w:szCs w:val="24"/>
        </w:rPr>
        <w:t>, que aprobó el Convenio de Minamata sobre el Mercurio</w:t>
      </w:r>
      <w:r w:rsidR="004A2910" w:rsidRPr="0035361B">
        <w:rPr>
          <w:rFonts w:ascii="Arial Narrow" w:hAnsi="Arial Narrow"/>
          <w:sz w:val="24"/>
          <w:szCs w:val="24"/>
        </w:rPr>
        <w:t>, que buscan proteger la salud y el medio ambiente del mercurio.</w:t>
      </w:r>
    </w:p>
    <w:p w:rsidR="006D2417" w:rsidRPr="00EB21D9" w:rsidRDefault="006D2417" w:rsidP="006D2417">
      <w:pPr>
        <w:tabs>
          <w:tab w:val="left" w:pos="7365"/>
        </w:tabs>
        <w:jc w:val="center"/>
        <w:rPr>
          <w:rFonts w:ascii="Arial Narrow" w:hAnsi="Arial Narrow" w:cs="Arial"/>
          <w:sz w:val="24"/>
          <w:szCs w:val="24"/>
        </w:rPr>
      </w:pPr>
    </w:p>
    <w:p w:rsidR="006D2417" w:rsidRPr="00EB21D9" w:rsidRDefault="006D2417" w:rsidP="006D2417">
      <w:pPr>
        <w:tabs>
          <w:tab w:val="left" w:pos="7365"/>
        </w:tabs>
        <w:jc w:val="center"/>
        <w:rPr>
          <w:rFonts w:ascii="Arial Narrow" w:hAnsi="Arial Narrow" w:cs="Arial"/>
          <w:sz w:val="24"/>
          <w:szCs w:val="24"/>
        </w:rPr>
      </w:pPr>
    </w:p>
    <w:p w:rsidR="006D2417" w:rsidRPr="00EB21D9" w:rsidRDefault="006D2417" w:rsidP="0035361B">
      <w:pPr>
        <w:tabs>
          <w:tab w:val="left" w:pos="7365"/>
        </w:tabs>
        <w:rPr>
          <w:rFonts w:ascii="Arial Narrow" w:hAnsi="Arial Narrow" w:cs="Arial"/>
          <w:sz w:val="24"/>
          <w:szCs w:val="24"/>
        </w:rPr>
      </w:pPr>
    </w:p>
    <w:p w:rsidR="006D2417" w:rsidRDefault="006D2417" w:rsidP="006D2417">
      <w:pPr>
        <w:tabs>
          <w:tab w:val="left" w:pos="7365"/>
        </w:tabs>
        <w:jc w:val="center"/>
        <w:rPr>
          <w:rFonts w:ascii="Arial Narrow" w:hAnsi="Arial Narrow" w:cs="Arial"/>
          <w:sz w:val="24"/>
          <w:szCs w:val="24"/>
        </w:rPr>
      </w:pPr>
    </w:p>
    <w:p w:rsidR="00BF73B3" w:rsidRPr="00EB21D9" w:rsidRDefault="00BF73B3" w:rsidP="006D2417">
      <w:pPr>
        <w:tabs>
          <w:tab w:val="left" w:pos="7365"/>
        </w:tabs>
        <w:jc w:val="center"/>
        <w:rPr>
          <w:rFonts w:ascii="Arial Narrow" w:hAnsi="Arial Narrow" w:cs="Arial"/>
          <w:sz w:val="24"/>
          <w:szCs w:val="24"/>
        </w:rPr>
      </w:pPr>
    </w:p>
    <w:p w:rsidR="006D2417" w:rsidRPr="00EB21D9" w:rsidRDefault="00DD1760" w:rsidP="006D2417">
      <w:pPr>
        <w:spacing w:line="22" w:lineRule="atLeast"/>
        <w:jc w:val="center"/>
        <w:outlineLvl w:val="0"/>
        <w:rPr>
          <w:rFonts w:ascii="Arial Narrow" w:hAnsi="Arial Narrow" w:cs="Arial"/>
          <w:sz w:val="24"/>
          <w:szCs w:val="24"/>
        </w:rPr>
      </w:pPr>
      <w:r>
        <w:rPr>
          <w:rFonts w:ascii="Arial Narrow" w:hAnsi="Arial Narrow" w:cs="Arial"/>
          <w:b/>
          <w:sz w:val="24"/>
          <w:szCs w:val="24"/>
        </w:rPr>
        <w:t xml:space="preserve">MARIO ORLANDO LÓPEZ ASTRO </w:t>
      </w:r>
    </w:p>
    <w:p w:rsidR="006D2417" w:rsidRPr="00EB21D9" w:rsidRDefault="006D2417" w:rsidP="006D2417">
      <w:pPr>
        <w:jc w:val="center"/>
        <w:rPr>
          <w:rFonts w:ascii="Arial Narrow" w:hAnsi="Arial Narrow" w:cs="Arial"/>
          <w:sz w:val="24"/>
          <w:szCs w:val="24"/>
        </w:rPr>
      </w:pPr>
      <w:r w:rsidRPr="00EB21D9">
        <w:rPr>
          <w:rFonts w:ascii="Arial Narrow" w:hAnsi="Arial Narrow" w:cs="Arial"/>
          <w:sz w:val="24"/>
          <w:szCs w:val="24"/>
        </w:rPr>
        <w:lastRenderedPageBreak/>
        <w:t xml:space="preserve">Director </w:t>
      </w:r>
      <w:r w:rsidR="00DD1760">
        <w:rPr>
          <w:rFonts w:ascii="Arial Narrow" w:hAnsi="Arial Narrow" w:cs="Arial"/>
          <w:sz w:val="24"/>
          <w:szCs w:val="24"/>
        </w:rPr>
        <w:t>(E) de</w:t>
      </w:r>
      <w:r w:rsidRPr="00EB21D9">
        <w:rPr>
          <w:rFonts w:ascii="Arial Narrow" w:hAnsi="Arial Narrow" w:cs="Arial"/>
          <w:sz w:val="24"/>
          <w:szCs w:val="24"/>
        </w:rPr>
        <w:t xml:space="preserve"> Asuntos Ambientales, Sectorial y Urbana</w:t>
      </w:r>
    </w:p>
    <w:p w:rsidR="006D2417" w:rsidRPr="00EB21D9" w:rsidRDefault="006D2417" w:rsidP="006D2417">
      <w:pPr>
        <w:jc w:val="center"/>
        <w:rPr>
          <w:rFonts w:ascii="Arial Narrow" w:hAnsi="Arial Narrow" w:cs="Arial"/>
          <w:bCs/>
          <w:sz w:val="24"/>
          <w:szCs w:val="24"/>
          <w:lang w:val="es-ES"/>
        </w:rPr>
      </w:pPr>
      <w:r w:rsidRPr="00EB21D9">
        <w:rPr>
          <w:rFonts w:ascii="Arial Narrow" w:hAnsi="Arial Narrow" w:cs="Arial"/>
          <w:sz w:val="24"/>
          <w:szCs w:val="24"/>
        </w:rPr>
        <w:t>Ministerio de Ambiente y Desarrollo Sostenible</w:t>
      </w:r>
    </w:p>
    <w:p w:rsidR="006D2417" w:rsidRPr="00EB21D9" w:rsidRDefault="006D2417" w:rsidP="006D2417">
      <w:pPr>
        <w:tabs>
          <w:tab w:val="left" w:pos="7365"/>
        </w:tabs>
        <w:jc w:val="center"/>
        <w:rPr>
          <w:rFonts w:ascii="Arial Narrow" w:hAnsi="Arial Narrow" w:cs="Arial"/>
          <w:sz w:val="24"/>
          <w:szCs w:val="24"/>
          <w:lang w:val="es-ES"/>
        </w:rPr>
      </w:pPr>
    </w:p>
    <w:p w:rsidR="006D2417" w:rsidRDefault="006D2417" w:rsidP="006D2417">
      <w:pPr>
        <w:tabs>
          <w:tab w:val="left" w:pos="7365"/>
        </w:tabs>
        <w:rPr>
          <w:rFonts w:ascii="Arial Narrow" w:hAnsi="Arial Narrow" w:cs="Arial"/>
          <w:sz w:val="24"/>
          <w:szCs w:val="24"/>
        </w:rPr>
      </w:pPr>
    </w:p>
    <w:p w:rsidR="00BF73B3" w:rsidRPr="00EB21D9" w:rsidRDefault="00BF73B3" w:rsidP="006D2417">
      <w:pPr>
        <w:tabs>
          <w:tab w:val="left" w:pos="7365"/>
        </w:tabs>
        <w:rPr>
          <w:rFonts w:ascii="Arial Narrow" w:hAnsi="Arial Narrow" w:cs="Arial"/>
          <w:sz w:val="24"/>
          <w:szCs w:val="24"/>
        </w:rPr>
      </w:pPr>
    </w:p>
    <w:p w:rsidR="00DD1760" w:rsidRDefault="006D2417" w:rsidP="006D2417">
      <w:pPr>
        <w:tabs>
          <w:tab w:val="left" w:pos="7365"/>
        </w:tabs>
        <w:outlineLvl w:val="0"/>
        <w:rPr>
          <w:rFonts w:ascii="Arial Narrow" w:hAnsi="Arial Narrow" w:cs="Arial"/>
          <w:sz w:val="20"/>
        </w:rPr>
      </w:pPr>
      <w:r w:rsidRPr="00DD08BA">
        <w:rPr>
          <w:rFonts w:ascii="Arial Narrow" w:hAnsi="Arial Narrow" w:cs="Arial"/>
          <w:sz w:val="20"/>
        </w:rPr>
        <w:t xml:space="preserve">Proyectó: </w:t>
      </w:r>
      <w:r w:rsidR="00DD1760">
        <w:rPr>
          <w:rFonts w:ascii="Arial Narrow" w:hAnsi="Arial Narrow" w:cs="Arial"/>
          <w:sz w:val="20"/>
        </w:rPr>
        <w:t>Elías Pinto</w:t>
      </w:r>
      <w:r w:rsidR="009B5E11">
        <w:rPr>
          <w:rFonts w:ascii="Arial Narrow" w:hAnsi="Arial Narrow" w:cs="Arial"/>
          <w:sz w:val="20"/>
        </w:rPr>
        <w:t>/Jairo Hómez</w:t>
      </w:r>
      <w:r w:rsidR="00DD1760">
        <w:rPr>
          <w:rFonts w:ascii="Arial Narrow" w:hAnsi="Arial Narrow" w:cs="Arial"/>
          <w:sz w:val="20"/>
        </w:rPr>
        <w:t xml:space="preserve"> / Beatriz Chaparro R.</w:t>
      </w:r>
    </w:p>
    <w:p w:rsidR="00030CB3" w:rsidRPr="002704E6" w:rsidRDefault="00425865" w:rsidP="00425865">
      <w:pPr>
        <w:tabs>
          <w:tab w:val="left" w:pos="7365"/>
        </w:tabs>
        <w:outlineLvl w:val="0"/>
        <w:rPr>
          <w:rFonts w:ascii="Arial Narrow" w:hAnsi="Arial Narrow"/>
          <w:sz w:val="24"/>
          <w:szCs w:val="24"/>
        </w:rPr>
      </w:pPr>
      <w:r>
        <w:rPr>
          <w:rFonts w:ascii="Arial Narrow" w:hAnsi="Arial Narrow" w:cs="Arial"/>
          <w:sz w:val="20"/>
        </w:rPr>
        <w:t>Revisó: Rafael Ríos</w:t>
      </w:r>
    </w:p>
    <w:sectPr w:rsidR="00030CB3" w:rsidRPr="002704E6" w:rsidSect="00B72A4D">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4A5" w:rsidRDefault="004924A5" w:rsidP="00CD6908">
      <w:r>
        <w:separator/>
      </w:r>
    </w:p>
  </w:endnote>
  <w:endnote w:type="continuationSeparator" w:id="0">
    <w:p w:rsidR="004924A5" w:rsidRDefault="004924A5" w:rsidP="00CD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C5E" w:rsidRPr="00854ED8" w:rsidRDefault="005E2C5E" w:rsidP="00854ED8">
    <w:pPr>
      <w:pStyle w:val="Piedepgina"/>
      <w:jc w:val="right"/>
      <w:rPr>
        <w:rFonts w:ascii="Verdana" w:hAnsi="Verdana"/>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4A5" w:rsidRDefault="004924A5" w:rsidP="00CD6908">
      <w:r>
        <w:separator/>
      </w:r>
    </w:p>
  </w:footnote>
  <w:footnote w:type="continuationSeparator" w:id="0">
    <w:p w:rsidR="004924A5" w:rsidRDefault="004924A5" w:rsidP="00CD69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C5E" w:rsidRDefault="0075473F" w:rsidP="0075473F">
    <w:pPr>
      <w:pStyle w:val="Encabezado"/>
      <w:jc w:val="right"/>
      <w:rPr>
        <w:noProof/>
        <w:lang w:eastAsia="es-CO"/>
      </w:rPr>
    </w:pPr>
    <w:r>
      <w:rPr>
        <w:noProof/>
        <w:lang w:eastAsia="es-CO"/>
      </w:rPr>
      <w:drawing>
        <wp:anchor distT="0" distB="0" distL="114300" distR="114300" simplePos="0" relativeHeight="251658240" behindDoc="1" locked="0" layoutInCell="1" allowOverlap="1" wp14:anchorId="7D05F398" wp14:editId="685F0A39">
          <wp:simplePos x="0" y="0"/>
          <wp:positionH relativeFrom="column">
            <wp:posOffset>3707765</wp:posOffset>
          </wp:positionH>
          <wp:positionV relativeFrom="paragraph">
            <wp:posOffset>-189230</wp:posOffset>
          </wp:positionV>
          <wp:extent cx="2077244" cy="1582662"/>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079475" cy="1584362"/>
                  </a:xfrm>
                  <a:prstGeom prst="rect">
                    <a:avLst/>
                  </a:prstGeom>
                </pic:spPr>
              </pic:pic>
            </a:graphicData>
          </a:graphic>
          <wp14:sizeRelH relativeFrom="margin">
            <wp14:pctWidth>0</wp14:pctWidth>
          </wp14:sizeRelH>
          <wp14:sizeRelV relativeFrom="margin">
            <wp14:pctHeight>0</wp14:pctHeight>
          </wp14:sizeRelV>
        </wp:anchor>
      </w:drawing>
    </w:r>
  </w:p>
  <w:p w:rsidR="005E2C5E" w:rsidRDefault="005E2C5E" w:rsidP="0077490D">
    <w:pPr>
      <w:pStyle w:val="Encabezado"/>
      <w:jc w:val="right"/>
      <w:rPr>
        <w:rFonts w:ascii="Verdana" w:hAnsi="Verdana"/>
      </w:rPr>
    </w:pPr>
  </w:p>
  <w:p w:rsidR="0075473F" w:rsidRDefault="0075473F" w:rsidP="0077490D">
    <w:pPr>
      <w:pStyle w:val="Encabezado"/>
      <w:jc w:val="right"/>
      <w:rPr>
        <w:rFonts w:ascii="Verdana" w:hAnsi="Verdana"/>
      </w:rPr>
    </w:pPr>
  </w:p>
  <w:p w:rsidR="0075473F" w:rsidRDefault="0075473F" w:rsidP="0077490D">
    <w:pPr>
      <w:pStyle w:val="Encabezado"/>
      <w:jc w:val="right"/>
      <w:rPr>
        <w:rFonts w:ascii="Verdana" w:hAnsi="Verdana"/>
      </w:rPr>
    </w:pPr>
  </w:p>
  <w:p w:rsidR="0075473F" w:rsidRDefault="0075473F" w:rsidP="0077490D">
    <w:pPr>
      <w:pStyle w:val="Encabezado"/>
      <w:jc w:val="right"/>
      <w:rPr>
        <w:rFonts w:ascii="Verdana" w:hAnsi="Verdana"/>
      </w:rPr>
    </w:pPr>
  </w:p>
  <w:p w:rsidR="0075473F" w:rsidRDefault="0075473F" w:rsidP="0077490D">
    <w:pPr>
      <w:pStyle w:val="Encabezado"/>
      <w:jc w:val="right"/>
      <w:rPr>
        <w:rFonts w:ascii="Verdana" w:hAnsi="Verdana"/>
      </w:rPr>
    </w:pPr>
  </w:p>
  <w:p w:rsidR="0075473F" w:rsidRDefault="0075473F" w:rsidP="0077490D">
    <w:pPr>
      <w:pStyle w:val="Encabezado"/>
      <w:jc w:val="right"/>
      <w:rPr>
        <w:rFonts w:ascii="Verdana" w:hAnsi="Verdana"/>
      </w:rPr>
    </w:pPr>
  </w:p>
  <w:p w:rsidR="00EB21D9" w:rsidRDefault="00EB21D9" w:rsidP="0077490D">
    <w:pPr>
      <w:pStyle w:val="Encabezado"/>
      <w:jc w:val="right"/>
      <w:rPr>
        <w:rFonts w:ascii="Verdana" w:hAnsi="Verdana"/>
      </w:rPr>
    </w:pPr>
  </w:p>
  <w:p w:rsidR="0075473F" w:rsidRPr="005E2C5E" w:rsidRDefault="0075473F" w:rsidP="00EB21D9">
    <w:pPr>
      <w:pStyle w:val="Encabezado"/>
      <w:rPr>
        <w:rFonts w:ascii="Verdana" w:hAnsi="Verdan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75pt;height:50.25pt" o:bullet="t">
        <v:imagedata r:id="rId1" o:title="art16B8"/>
      </v:shape>
    </w:pict>
  </w:numPicBullet>
  <w:abstractNum w:abstractNumId="0" w15:restartNumberingAfterBreak="0">
    <w:nsid w:val="091B760F"/>
    <w:multiLevelType w:val="hybridMultilevel"/>
    <w:tmpl w:val="1DB061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716508D"/>
    <w:multiLevelType w:val="hybridMultilevel"/>
    <w:tmpl w:val="B5F02B7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BBC42A3"/>
    <w:multiLevelType w:val="hybridMultilevel"/>
    <w:tmpl w:val="6DB07E9E"/>
    <w:lvl w:ilvl="0" w:tplc="9BC080D6">
      <w:start w:val="1"/>
      <w:numFmt w:val="bullet"/>
      <w:lvlText w:val=""/>
      <w:lvlPicBulletId w:val="0"/>
      <w:lvlJc w:val="left"/>
      <w:pPr>
        <w:ind w:left="121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6525D57"/>
    <w:multiLevelType w:val="hybridMultilevel"/>
    <w:tmpl w:val="193E9E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F783E41"/>
    <w:multiLevelType w:val="hybridMultilevel"/>
    <w:tmpl w:val="9014ECAA"/>
    <w:lvl w:ilvl="0" w:tplc="240A0001">
      <w:start w:val="1"/>
      <w:numFmt w:val="bullet"/>
      <w:lvlText w:val=""/>
      <w:lvlJc w:val="left"/>
      <w:pPr>
        <w:ind w:left="927" w:hanging="360"/>
      </w:pPr>
      <w:rPr>
        <w:rFonts w:ascii="Symbol" w:hAnsi="Symbol" w:hint="default"/>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6" w15:restartNumberingAfterBreak="0">
    <w:nsid w:val="30D87CA0"/>
    <w:multiLevelType w:val="hybridMultilevel"/>
    <w:tmpl w:val="ABA6AA78"/>
    <w:lvl w:ilvl="0" w:tplc="9BC080D6">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42945C5"/>
    <w:multiLevelType w:val="hybridMultilevel"/>
    <w:tmpl w:val="AB80C45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C1B1B44"/>
    <w:multiLevelType w:val="hybridMultilevel"/>
    <w:tmpl w:val="5712A344"/>
    <w:lvl w:ilvl="0" w:tplc="9BC080D6">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C8464C4"/>
    <w:multiLevelType w:val="hybridMultilevel"/>
    <w:tmpl w:val="F020C0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35E1DD7"/>
    <w:multiLevelType w:val="hybridMultilevel"/>
    <w:tmpl w:val="8716C8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64B6225"/>
    <w:multiLevelType w:val="hybridMultilevel"/>
    <w:tmpl w:val="CA24760A"/>
    <w:lvl w:ilvl="0" w:tplc="2BB87C4A">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42D0ECC"/>
    <w:multiLevelType w:val="hybridMultilevel"/>
    <w:tmpl w:val="8C4E2AE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C2C587D"/>
    <w:multiLevelType w:val="hybridMultilevel"/>
    <w:tmpl w:val="D3B4284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CE91F94"/>
    <w:multiLevelType w:val="hybridMultilevel"/>
    <w:tmpl w:val="2CAC135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FCF5A5E"/>
    <w:multiLevelType w:val="hybridMultilevel"/>
    <w:tmpl w:val="A6DCE48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05328C2"/>
    <w:multiLevelType w:val="hybridMultilevel"/>
    <w:tmpl w:val="E256A48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2C274C1"/>
    <w:multiLevelType w:val="hybridMultilevel"/>
    <w:tmpl w:val="7EA291C8"/>
    <w:lvl w:ilvl="0" w:tplc="D4380156">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4BF46A1"/>
    <w:multiLevelType w:val="hybridMultilevel"/>
    <w:tmpl w:val="9DB6C7AC"/>
    <w:lvl w:ilvl="0" w:tplc="9BC080D6">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EF914F3"/>
    <w:multiLevelType w:val="hybridMultilevel"/>
    <w:tmpl w:val="63C853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4871E2B"/>
    <w:multiLevelType w:val="hybridMultilevel"/>
    <w:tmpl w:val="49CCA85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4F3623A"/>
    <w:multiLevelType w:val="hybridMultilevel"/>
    <w:tmpl w:val="621A195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2" w15:restartNumberingAfterBreak="0">
    <w:nsid w:val="7B621ED4"/>
    <w:multiLevelType w:val="hybridMultilevel"/>
    <w:tmpl w:val="ADFE79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C2A3D69"/>
    <w:multiLevelType w:val="hybridMultilevel"/>
    <w:tmpl w:val="4904B3F0"/>
    <w:lvl w:ilvl="0" w:tplc="9BC080D6">
      <w:start w:val="1"/>
      <w:numFmt w:val="bullet"/>
      <w:lvlText w:val=""/>
      <w:lvlPicBulletId w:val="0"/>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15:restartNumberingAfterBreak="0">
    <w:nsid w:val="7DFB61AF"/>
    <w:multiLevelType w:val="hybridMultilevel"/>
    <w:tmpl w:val="805022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17"/>
  </w:num>
  <w:num w:numId="4">
    <w:abstractNumId w:val="10"/>
  </w:num>
  <w:num w:numId="5">
    <w:abstractNumId w:val="5"/>
  </w:num>
  <w:num w:numId="6">
    <w:abstractNumId w:val="14"/>
  </w:num>
  <w:num w:numId="7">
    <w:abstractNumId w:val="22"/>
  </w:num>
  <w:num w:numId="8">
    <w:abstractNumId w:val="2"/>
  </w:num>
  <w:num w:numId="9">
    <w:abstractNumId w:val="8"/>
  </w:num>
  <w:num w:numId="10">
    <w:abstractNumId w:val="9"/>
  </w:num>
  <w:num w:numId="11">
    <w:abstractNumId w:val="6"/>
  </w:num>
  <w:num w:numId="12">
    <w:abstractNumId w:val="24"/>
  </w:num>
  <w:num w:numId="13">
    <w:abstractNumId w:val="1"/>
  </w:num>
  <w:num w:numId="14">
    <w:abstractNumId w:val="11"/>
  </w:num>
  <w:num w:numId="15">
    <w:abstractNumId w:val="12"/>
  </w:num>
  <w:num w:numId="16">
    <w:abstractNumId w:val="15"/>
  </w:num>
  <w:num w:numId="17">
    <w:abstractNumId w:val="20"/>
  </w:num>
  <w:num w:numId="18">
    <w:abstractNumId w:val="16"/>
  </w:num>
  <w:num w:numId="19">
    <w:abstractNumId w:val="3"/>
  </w:num>
  <w:num w:numId="20">
    <w:abstractNumId w:val="19"/>
  </w:num>
  <w:num w:numId="21">
    <w:abstractNumId w:val="0"/>
  </w:num>
  <w:num w:numId="22">
    <w:abstractNumId w:val="7"/>
  </w:num>
  <w:num w:numId="23">
    <w:abstractNumId w:val="13"/>
  </w:num>
  <w:num w:numId="24">
    <w:abstractNumId w:val="1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908"/>
    <w:rsid w:val="00003759"/>
    <w:rsid w:val="00013CAA"/>
    <w:rsid w:val="000203B9"/>
    <w:rsid w:val="00030CB3"/>
    <w:rsid w:val="00044159"/>
    <w:rsid w:val="000622D6"/>
    <w:rsid w:val="000712FA"/>
    <w:rsid w:val="000828AD"/>
    <w:rsid w:val="000866F7"/>
    <w:rsid w:val="0009335D"/>
    <w:rsid w:val="000A45A0"/>
    <w:rsid w:val="000A62D4"/>
    <w:rsid w:val="000C0538"/>
    <w:rsid w:val="000D4EE1"/>
    <w:rsid w:val="000E625F"/>
    <w:rsid w:val="000E6666"/>
    <w:rsid w:val="000F252A"/>
    <w:rsid w:val="000F5828"/>
    <w:rsid w:val="00102643"/>
    <w:rsid w:val="00113D33"/>
    <w:rsid w:val="00116D8E"/>
    <w:rsid w:val="0012200A"/>
    <w:rsid w:val="00127ADD"/>
    <w:rsid w:val="00130344"/>
    <w:rsid w:val="001347AC"/>
    <w:rsid w:val="00136383"/>
    <w:rsid w:val="00161B2E"/>
    <w:rsid w:val="001767AD"/>
    <w:rsid w:val="00191808"/>
    <w:rsid w:val="001935DB"/>
    <w:rsid w:val="001964E6"/>
    <w:rsid w:val="001C0C1F"/>
    <w:rsid w:val="001C0CB0"/>
    <w:rsid w:val="001C7505"/>
    <w:rsid w:val="001C7CF6"/>
    <w:rsid w:val="001D68E2"/>
    <w:rsid w:val="001E6369"/>
    <w:rsid w:val="001E6A54"/>
    <w:rsid w:val="001F708D"/>
    <w:rsid w:val="00206D65"/>
    <w:rsid w:val="00226B12"/>
    <w:rsid w:val="00235AE0"/>
    <w:rsid w:val="00235B5F"/>
    <w:rsid w:val="00236935"/>
    <w:rsid w:val="00237AE8"/>
    <w:rsid w:val="00242D2A"/>
    <w:rsid w:val="0024665F"/>
    <w:rsid w:val="00247F4A"/>
    <w:rsid w:val="002517A3"/>
    <w:rsid w:val="00262E8B"/>
    <w:rsid w:val="0026608A"/>
    <w:rsid w:val="002704E6"/>
    <w:rsid w:val="00284CAB"/>
    <w:rsid w:val="00286832"/>
    <w:rsid w:val="0029082A"/>
    <w:rsid w:val="002A6168"/>
    <w:rsid w:val="002D0817"/>
    <w:rsid w:val="002E2883"/>
    <w:rsid w:val="002E5077"/>
    <w:rsid w:val="002F20BD"/>
    <w:rsid w:val="002F34E5"/>
    <w:rsid w:val="002F6118"/>
    <w:rsid w:val="00307B16"/>
    <w:rsid w:val="00312425"/>
    <w:rsid w:val="00322068"/>
    <w:rsid w:val="0032547E"/>
    <w:rsid w:val="00334DAD"/>
    <w:rsid w:val="0034347E"/>
    <w:rsid w:val="00343B92"/>
    <w:rsid w:val="0035361B"/>
    <w:rsid w:val="00353DFC"/>
    <w:rsid w:val="00370FD8"/>
    <w:rsid w:val="003857E9"/>
    <w:rsid w:val="00395FCF"/>
    <w:rsid w:val="003A64E1"/>
    <w:rsid w:val="003B37A9"/>
    <w:rsid w:val="003C502D"/>
    <w:rsid w:val="003C5301"/>
    <w:rsid w:val="003D47A8"/>
    <w:rsid w:val="003D4C4B"/>
    <w:rsid w:val="003F4319"/>
    <w:rsid w:val="003F5145"/>
    <w:rsid w:val="00405275"/>
    <w:rsid w:val="0040799D"/>
    <w:rsid w:val="00420C80"/>
    <w:rsid w:val="00422D20"/>
    <w:rsid w:val="00425865"/>
    <w:rsid w:val="0042617F"/>
    <w:rsid w:val="004279E1"/>
    <w:rsid w:val="0043010C"/>
    <w:rsid w:val="00455753"/>
    <w:rsid w:val="004737FF"/>
    <w:rsid w:val="004924A5"/>
    <w:rsid w:val="00494949"/>
    <w:rsid w:val="004A03BA"/>
    <w:rsid w:val="004A1181"/>
    <w:rsid w:val="004A2910"/>
    <w:rsid w:val="004A5CD8"/>
    <w:rsid w:val="004C4467"/>
    <w:rsid w:val="00505D3E"/>
    <w:rsid w:val="00515C61"/>
    <w:rsid w:val="005245DC"/>
    <w:rsid w:val="00542833"/>
    <w:rsid w:val="00546B5B"/>
    <w:rsid w:val="00577A90"/>
    <w:rsid w:val="005830AC"/>
    <w:rsid w:val="0058370D"/>
    <w:rsid w:val="005912D6"/>
    <w:rsid w:val="005A73BD"/>
    <w:rsid w:val="005A7498"/>
    <w:rsid w:val="005A74AC"/>
    <w:rsid w:val="005B1E88"/>
    <w:rsid w:val="005C7C4A"/>
    <w:rsid w:val="005D0A47"/>
    <w:rsid w:val="005E2C5E"/>
    <w:rsid w:val="005E739C"/>
    <w:rsid w:val="00611C57"/>
    <w:rsid w:val="00615748"/>
    <w:rsid w:val="006163BF"/>
    <w:rsid w:val="00630666"/>
    <w:rsid w:val="00636D26"/>
    <w:rsid w:val="00656B81"/>
    <w:rsid w:val="00676A74"/>
    <w:rsid w:val="00686932"/>
    <w:rsid w:val="006971DB"/>
    <w:rsid w:val="006C21E3"/>
    <w:rsid w:val="006C2AD2"/>
    <w:rsid w:val="006D2417"/>
    <w:rsid w:val="006D6DBA"/>
    <w:rsid w:val="006D77F5"/>
    <w:rsid w:val="006E0C47"/>
    <w:rsid w:val="006E4FA0"/>
    <w:rsid w:val="006E60BE"/>
    <w:rsid w:val="007018BE"/>
    <w:rsid w:val="00706464"/>
    <w:rsid w:val="007140F3"/>
    <w:rsid w:val="00725739"/>
    <w:rsid w:val="007301D3"/>
    <w:rsid w:val="00736F54"/>
    <w:rsid w:val="00737F00"/>
    <w:rsid w:val="00747DB0"/>
    <w:rsid w:val="0075473F"/>
    <w:rsid w:val="0077490D"/>
    <w:rsid w:val="0078449A"/>
    <w:rsid w:val="007935B8"/>
    <w:rsid w:val="007A0F47"/>
    <w:rsid w:val="007A533D"/>
    <w:rsid w:val="007C32EE"/>
    <w:rsid w:val="007D2329"/>
    <w:rsid w:val="007D5EFB"/>
    <w:rsid w:val="007E5706"/>
    <w:rsid w:val="007E7313"/>
    <w:rsid w:val="007F5446"/>
    <w:rsid w:val="007F5CE5"/>
    <w:rsid w:val="00811C44"/>
    <w:rsid w:val="008266B1"/>
    <w:rsid w:val="00826A0E"/>
    <w:rsid w:val="00844F2E"/>
    <w:rsid w:val="00854ED8"/>
    <w:rsid w:val="008562FB"/>
    <w:rsid w:val="00860F79"/>
    <w:rsid w:val="00865E10"/>
    <w:rsid w:val="0086733C"/>
    <w:rsid w:val="00870D0C"/>
    <w:rsid w:val="008718D3"/>
    <w:rsid w:val="0089627E"/>
    <w:rsid w:val="00897E09"/>
    <w:rsid w:val="008A5477"/>
    <w:rsid w:val="008A5F35"/>
    <w:rsid w:val="008D105E"/>
    <w:rsid w:val="008D53AB"/>
    <w:rsid w:val="008E3F27"/>
    <w:rsid w:val="008F1273"/>
    <w:rsid w:val="008F60FB"/>
    <w:rsid w:val="008F6FB5"/>
    <w:rsid w:val="00906DA7"/>
    <w:rsid w:val="00914D3D"/>
    <w:rsid w:val="0091756D"/>
    <w:rsid w:val="0092012D"/>
    <w:rsid w:val="00934658"/>
    <w:rsid w:val="00940CFF"/>
    <w:rsid w:val="00944C5F"/>
    <w:rsid w:val="00955182"/>
    <w:rsid w:val="00961910"/>
    <w:rsid w:val="00972179"/>
    <w:rsid w:val="00982138"/>
    <w:rsid w:val="00983483"/>
    <w:rsid w:val="009836FC"/>
    <w:rsid w:val="009920ED"/>
    <w:rsid w:val="00993887"/>
    <w:rsid w:val="009B5E11"/>
    <w:rsid w:val="009D02CB"/>
    <w:rsid w:val="009F108A"/>
    <w:rsid w:val="00A12FCC"/>
    <w:rsid w:val="00A1486C"/>
    <w:rsid w:val="00A14EB3"/>
    <w:rsid w:val="00A256E3"/>
    <w:rsid w:val="00A349A6"/>
    <w:rsid w:val="00A413C1"/>
    <w:rsid w:val="00A55BE0"/>
    <w:rsid w:val="00A71E01"/>
    <w:rsid w:val="00A76BF9"/>
    <w:rsid w:val="00A83354"/>
    <w:rsid w:val="00A87CD0"/>
    <w:rsid w:val="00AA1A94"/>
    <w:rsid w:val="00AA4D05"/>
    <w:rsid w:val="00AC3154"/>
    <w:rsid w:val="00AC481B"/>
    <w:rsid w:val="00AD10F3"/>
    <w:rsid w:val="00B13F57"/>
    <w:rsid w:val="00B17CD0"/>
    <w:rsid w:val="00B242E8"/>
    <w:rsid w:val="00B27995"/>
    <w:rsid w:val="00B3322C"/>
    <w:rsid w:val="00B35553"/>
    <w:rsid w:val="00B450B8"/>
    <w:rsid w:val="00B51321"/>
    <w:rsid w:val="00B72A4D"/>
    <w:rsid w:val="00B749D0"/>
    <w:rsid w:val="00B95185"/>
    <w:rsid w:val="00BA4FE3"/>
    <w:rsid w:val="00BB7E5C"/>
    <w:rsid w:val="00BC7E4F"/>
    <w:rsid w:val="00BE3ACE"/>
    <w:rsid w:val="00BF73B3"/>
    <w:rsid w:val="00C0625D"/>
    <w:rsid w:val="00C06C76"/>
    <w:rsid w:val="00C43979"/>
    <w:rsid w:val="00C500E4"/>
    <w:rsid w:val="00C506B5"/>
    <w:rsid w:val="00C514A6"/>
    <w:rsid w:val="00C518BD"/>
    <w:rsid w:val="00C543AE"/>
    <w:rsid w:val="00C549AC"/>
    <w:rsid w:val="00C643A7"/>
    <w:rsid w:val="00C80178"/>
    <w:rsid w:val="00C857DF"/>
    <w:rsid w:val="00C877C8"/>
    <w:rsid w:val="00C96D5C"/>
    <w:rsid w:val="00C9795F"/>
    <w:rsid w:val="00CA55E8"/>
    <w:rsid w:val="00CC348C"/>
    <w:rsid w:val="00CC56F6"/>
    <w:rsid w:val="00CD07A1"/>
    <w:rsid w:val="00CD16AB"/>
    <w:rsid w:val="00CD6908"/>
    <w:rsid w:val="00CE14B9"/>
    <w:rsid w:val="00CF3A05"/>
    <w:rsid w:val="00D02546"/>
    <w:rsid w:val="00D1375A"/>
    <w:rsid w:val="00D20FA1"/>
    <w:rsid w:val="00D235C6"/>
    <w:rsid w:val="00D34241"/>
    <w:rsid w:val="00D460AB"/>
    <w:rsid w:val="00D609A2"/>
    <w:rsid w:val="00D7059A"/>
    <w:rsid w:val="00D87EF7"/>
    <w:rsid w:val="00DA41D9"/>
    <w:rsid w:val="00DB5593"/>
    <w:rsid w:val="00DC2DE5"/>
    <w:rsid w:val="00DD08BA"/>
    <w:rsid w:val="00DD1760"/>
    <w:rsid w:val="00DE7DAA"/>
    <w:rsid w:val="00DF62B2"/>
    <w:rsid w:val="00E025CE"/>
    <w:rsid w:val="00E04954"/>
    <w:rsid w:val="00E148F9"/>
    <w:rsid w:val="00E15F82"/>
    <w:rsid w:val="00E2770D"/>
    <w:rsid w:val="00E402D0"/>
    <w:rsid w:val="00E5621E"/>
    <w:rsid w:val="00E5780F"/>
    <w:rsid w:val="00E57C31"/>
    <w:rsid w:val="00E712E8"/>
    <w:rsid w:val="00E75AF0"/>
    <w:rsid w:val="00E82538"/>
    <w:rsid w:val="00E905DD"/>
    <w:rsid w:val="00E918D1"/>
    <w:rsid w:val="00EB21D9"/>
    <w:rsid w:val="00EB6629"/>
    <w:rsid w:val="00EC5212"/>
    <w:rsid w:val="00ED20FC"/>
    <w:rsid w:val="00EF2C08"/>
    <w:rsid w:val="00EF6CC1"/>
    <w:rsid w:val="00EF6CC8"/>
    <w:rsid w:val="00F05CFC"/>
    <w:rsid w:val="00F15BFE"/>
    <w:rsid w:val="00F17B0E"/>
    <w:rsid w:val="00F25BA4"/>
    <w:rsid w:val="00F4278A"/>
    <w:rsid w:val="00F44448"/>
    <w:rsid w:val="00F4465A"/>
    <w:rsid w:val="00F61308"/>
    <w:rsid w:val="00F62030"/>
    <w:rsid w:val="00F70332"/>
    <w:rsid w:val="00F84C5E"/>
    <w:rsid w:val="00FA5C42"/>
    <w:rsid w:val="00FB1B0E"/>
    <w:rsid w:val="00FC10FC"/>
    <w:rsid w:val="00FC1770"/>
    <w:rsid w:val="00FC4A11"/>
    <w:rsid w:val="00FE321C"/>
    <w:rsid w:val="00FF67A9"/>
    <w:rsid w:val="00FF77FA"/>
    <w:rsid w:val="00FF7CB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184BDC-7BFD-41DF-AE5C-0F0857DD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CB3"/>
    <w:pPr>
      <w:spacing w:after="0" w:line="240" w:lineRule="auto"/>
      <w:jc w:val="both"/>
    </w:pPr>
    <w:rPr>
      <w:rFonts w:ascii="Arial" w:eastAsia="Times New Roman" w:hAnsi="Arial"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eastAsiaTheme="minorEastAsia" w:hAnsi="Times New Roman"/>
      <w:sz w:val="24"/>
      <w:szCs w:val="24"/>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paragraph" w:customStyle="1" w:styleId="Default">
    <w:name w:val="Default"/>
    <w:rsid w:val="00030CB3"/>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character" w:styleId="Hipervnculo">
    <w:name w:val="Hyperlink"/>
    <w:basedOn w:val="Fuentedeprrafopredeter"/>
    <w:uiPriority w:val="99"/>
    <w:unhideWhenUsed/>
    <w:rsid w:val="00D1375A"/>
    <w:rPr>
      <w:color w:val="0000FF" w:themeColor="hyperlink"/>
      <w:u w:val="single"/>
    </w:rPr>
  </w:style>
  <w:style w:type="paragraph" w:styleId="Prrafodelista">
    <w:name w:val="List Paragraph"/>
    <w:basedOn w:val="Normal"/>
    <w:link w:val="PrrafodelistaCar"/>
    <w:uiPriority w:val="34"/>
    <w:qFormat/>
    <w:rsid w:val="000D4EE1"/>
    <w:pPr>
      <w:ind w:left="720"/>
      <w:contextualSpacing/>
    </w:pPr>
  </w:style>
  <w:style w:type="paragraph" w:styleId="Textoindependiente">
    <w:name w:val="Body Text"/>
    <w:basedOn w:val="Normal"/>
    <w:link w:val="TextoindependienteCar"/>
    <w:semiHidden/>
    <w:rsid w:val="006D2417"/>
    <w:rPr>
      <w:lang w:val="es-ES"/>
    </w:rPr>
  </w:style>
  <w:style w:type="character" w:customStyle="1" w:styleId="TextoindependienteCar">
    <w:name w:val="Texto independiente Car"/>
    <w:basedOn w:val="Fuentedeprrafopredeter"/>
    <w:link w:val="Textoindependiente"/>
    <w:semiHidden/>
    <w:rsid w:val="006D2417"/>
    <w:rPr>
      <w:rFonts w:ascii="Arial" w:eastAsia="Times New Roman" w:hAnsi="Arial" w:cs="Times New Roman"/>
      <w:szCs w:val="20"/>
      <w:lang w:val="es-ES" w:eastAsia="es-ES"/>
    </w:rPr>
  </w:style>
  <w:style w:type="character" w:styleId="Refdenotaalpie">
    <w:name w:val="footnote reference"/>
    <w:basedOn w:val="Fuentedeprrafopredeter"/>
    <w:uiPriority w:val="99"/>
    <w:semiHidden/>
    <w:rsid w:val="006D2417"/>
    <w:rPr>
      <w:vertAlign w:val="superscript"/>
    </w:rPr>
  </w:style>
  <w:style w:type="paragraph" w:styleId="Textonotapie">
    <w:name w:val="footnote text"/>
    <w:basedOn w:val="Normal"/>
    <w:link w:val="TextonotapieCar"/>
    <w:uiPriority w:val="99"/>
    <w:rsid w:val="006D2417"/>
    <w:pPr>
      <w:jc w:val="left"/>
    </w:pPr>
    <w:rPr>
      <w:rFonts w:ascii="Times New Roman" w:hAnsi="Times New Roman"/>
      <w:sz w:val="20"/>
      <w:lang w:val="es-ES"/>
    </w:rPr>
  </w:style>
  <w:style w:type="character" w:customStyle="1" w:styleId="TextonotapieCar">
    <w:name w:val="Texto nota pie Car"/>
    <w:basedOn w:val="Fuentedeprrafopredeter"/>
    <w:link w:val="Textonotapie"/>
    <w:uiPriority w:val="99"/>
    <w:rsid w:val="006D2417"/>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6D2417"/>
  </w:style>
  <w:style w:type="character" w:customStyle="1" w:styleId="PrrafodelistaCar">
    <w:name w:val="Párrafo de lista Car"/>
    <w:basedOn w:val="Fuentedeprrafopredeter"/>
    <w:link w:val="Prrafodelista"/>
    <w:uiPriority w:val="34"/>
    <w:rsid w:val="006D2417"/>
    <w:rPr>
      <w:rFonts w:ascii="Arial" w:eastAsia="Times New Roman" w:hAnsi="Arial" w:cs="Times New Roman"/>
      <w:szCs w:val="20"/>
      <w:lang w:eastAsia="es-ES"/>
    </w:rPr>
  </w:style>
  <w:style w:type="character" w:styleId="Refdenotaalfinal">
    <w:name w:val="endnote reference"/>
    <w:basedOn w:val="Fuentedeprrafopredeter"/>
    <w:uiPriority w:val="99"/>
    <w:semiHidden/>
    <w:unhideWhenUsed/>
    <w:rsid w:val="00972179"/>
    <w:rPr>
      <w:vertAlign w:val="superscript"/>
    </w:rPr>
  </w:style>
  <w:style w:type="character" w:styleId="nfasis">
    <w:name w:val="Emphasis"/>
    <w:basedOn w:val="Fuentedeprrafopredeter"/>
    <w:uiPriority w:val="20"/>
    <w:qFormat/>
    <w:rsid w:val="005912D6"/>
    <w:rPr>
      <w:i/>
      <w:iCs/>
    </w:rPr>
  </w:style>
  <w:style w:type="paragraph" w:styleId="Revisin">
    <w:name w:val="Revision"/>
    <w:hidden/>
    <w:uiPriority w:val="99"/>
    <w:semiHidden/>
    <w:rsid w:val="00E918D1"/>
    <w:pPr>
      <w:spacing w:after="0" w:line="240" w:lineRule="auto"/>
    </w:pPr>
    <w:rPr>
      <w:rFonts w:ascii="Arial" w:eastAsia="Times New Roman" w:hAnsi="Arial"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256984">
      <w:bodyDiv w:val="1"/>
      <w:marLeft w:val="0"/>
      <w:marRight w:val="0"/>
      <w:marTop w:val="0"/>
      <w:marBottom w:val="0"/>
      <w:divBdr>
        <w:top w:val="none" w:sz="0" w:space="0" w:color="auto"/>
        <w:left w:val="none" w:sz="0" w:space="0" w:color="auto"/>
        <w:bottom w:val="none" w:sz="0" w:space="0" w:color="auto"/>
        <w:right w:val="none" w:sz="0" w:space="0" w:color="auto"/>
      </w:divBdr>
    </w:div>
    <w:div w:id="151514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B247E-22DA-4EB7-9602-D87DFCA6E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2110</Words>
  <Characters>11610</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Acosta Gutierrez</dc:creator>
  <cp:lastModifiedBy>Diana Paola Velasquez Martinez</cp:lastModifiedBy>
  <cp:revision>2</cp:revision>
  <cp:lastPrinted>2017-11-10T14:49:00Z</cp:lastPrinted>
  <dcterms:created xsi:type="dcterms:W3CDTF">2018-09-28T23:04:00Z</dcterms:created>
  <dcterms:modified xsi:type="dcterms:W3CDTF">2018-09-28T23:04:00Z</dcterms:modified>
</cp:coreProperties>
</file>